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581D9D">
        <w:rPr>
          <w:rFonts w:eastAsia="宋体" w:hint="eastAsia"/>
          <w:lang w:eastAsia="zh-CN"/>
        </w:rPr>
        <w:t>9</w:t>
      </w:r>
      <w:r w:rsidR="00F82735">
        <w:rPr>
          <w:rFonts w:eastAsia="宋体" w:hint="eastAsia"/>
          <w:lang w:eastAsia="zh-CN"/>
        </w:rPr>
        <w:t>2</w:t>
      </w:r>
      <w:r>
        <w:rPr>
          <w:rFonts w:eastAsia="宋体" w:hint="eastAsia"/>
          <w:lang w:eastAsia="zh-CN"/>
        </w:rPr>
        <w:t xml:space="preserve">                                         </w:t>
      </w:r>
      <w:r>
        <w:t>R4-1</w:t>
      </w:r>
      <w:r w:rsidR="00297965">
        <w:rPr>
          <w:rFonts w:eastAsia="宋体" w:hint="eastAsia"/>
          <w:lang w:eastAsia="zh-CN"/>
        </w:rPr>
        <w:t>9</w:t>
      </w:r>
      <w:r w:rsidR="0076188D">
        <w:rPr>
          <w:rFonts w:eastAsia="宋体" w:hint="eastAsia"/>
          <w:lang w:eastAsia="zh-CN"/>
        </w:rPr>
        <w:t>08077</w:t>
      </w:r>
    </w:p>
    <w:p w:rsidR="003F6833" w:rsidRPr="00B743BF" w:rsidRDefault="00F82735" w:rsidP="003F6833">
      <w:pPr>
        <w:tabs>
          <w:tab w:val="left" w:pos="1985"/>
        </w:tabs>
        <w:spacing w:after="100" w:afterAutospacing="1"/>
        <w:rPr>
          <w:rFonts w:eastAsia="宋体"/>
          <w:noProof/>
          <w:sz w:val="24"/>
        </w:rPr>
      </w:pPr>
      <w:r>
        <w:rPr>
          <w:rFonts w:hint="eastAsia"/>
          <w:b/>
          <w:noProof/>
          <w:sz w:val="24"/>
        </w:rPr>
        <w:t>Ljubljana,</w:t>
      </w:r>
      <w:r w:rsidR="00FD172C">
        <w:rPr>
          <w:rFonts w:hint="eastAsia"/>
          <w:b/>
          <w:noProof/>
          <w:sz w:val="24"/>
        </w:rPr>
        <w:t>S</w:t>
      </w:r>
      <w:r>
        <w:rPr>
          <w:rFonts w:hint="eastAsia"/>
          <w:b/>
          <w:noProof/>
          <w:sz w:val="24"/>
        </w:rPr>
        <w:t>I</w:t>
      </w:r>
      <w:r w:rsidR="00C82F63">
        <w:rPr>
          <w:b/>
          <w:noProof/>
          <w:sz w:val="24"/>
        </w:rPr>
        <w:t xml:space="preserve">, </w:t>
      </w:r>
      <w:r>
        <w:rPr>
          <w:rFonts w:hint="eastAsia"/>
          <w:b/>
          <w:noProof/>
          <w:sz w:val="24"/>
        </w:rPr>
        <w:t>26</w:t>
      </w:r>
      <w:r w:rsidR="00581D9D" w:rsidRPr="00581D9D">
        <w:rPr>
          <w:rFonts w:hint="eastAsia"/>
          <w:b/>
          <w:noProof/>
          <w:sz w:val="24"/>
          <w:vertAlign w:val="superscript"/>
        </w:rPr>
        <w:t>th</w:t>
      </w:r>
      <w:r w:rsidR="00581D9D">
        <w:rPr>
          <w:rFonts w:hint="eastAsia"/>
          <w:b/>
          <w:noProof/>
          <w:sz w:val="24"/>
        </w:rPr>
        <w:t xml:space="preserve"> </w:t>
      </w:r>
      <w:r w:rsidR="00581D9D">
        <w:rPr>
          <w:b/>
          <w:noProof/>
          <w:sz w:val="24"/>
        </w:rPr>
        <w:t>–</w:t>
      </w:r>
      <w:r w:rsidR="00581D9D">
        <w:rPr>
          <w:rFonts w:hint="eastAsia"/>
          <w:b/>
          <w:noProof/>
          <w:sz w:val="24"/>
        </w:rPr>
        <w:t xml:space="preserve"> </w:t>
      </w:r>
      <w:r>
        <w:rPr>
          <w:rFonts w:hint="eastAsia"/>
          <w:b/>
          <w:noProof/>
          <w:sz w:val="24"/>
        </w:rPr>
        <w:t>30</w:t>
      </w:r>
      <w:r w:rsidR="00581D9D" w:rsidRPr="00581D9D">
        <w:rPr>
          <w:rFonts w:hint="eastAsia"/>
          <w:b/>
          <w:noProof/>
          <w:sz w:val="24"/>
          <w:vertAlign w:val="superscript"/>
        </w:rPr>
        <w:t>th</w:t>
      </w:r>
      <w:r w:rsidR="00581D9D">
        <w:rPr>
          <w:rFonts w:hint="eastAsia"/>
          <w:b/>
          <w:noProof/>
          <w:sz w:val="24"/>
        </w:rPr>
        <w:t xml:space="preserve"> </w:t>
      </w:r>
      <w:r w:rsidR="00FD172C">
        <w:rPr>
          <w:rFonts w:hint="eastAsia"/>
          <w:b/>
          <w:noProof/>
          <w:sz w:val="24"/>
        </w:rPr>
        <w:t>May</w:t>
      </w:r>
      <w:r w:rsidR="00C82F63">
        <w:rPr>
          <w:rFonts w:hint="eastAsia"/>
          <w:b/>
          <w:noProof/>
          <w:sz w:val="24"/>
        </w:rPr>
        <w:t>, 2019</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481E71">
        <w:rPr>
          <w:rFonts w:ascii="Arial" w:eastAsia="宋体" w:hAnsi="Arial" w:cs="Arial" w:hint="eastAsia"/>
          <w:b/>
          <w:noProof/>
          <w:kern w:val="0"/>
          <w:sz w:val="22"/>
          <w:szCs w:val="22"/>
          <w:lang w:val="en-GB"/>
        </w:rPr>
        <w:t>9.5.</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197EF8">
        <w:rPr>
          <w:rFonts w:ascii="Arial" w:eastAsia="宋体" w:hAnsi="Arial" w:cs="Arial" w:hint="eastAsia"/>
          <w:b/>
          <w:noProof/>
          <w:kern w:val="0"/>
          <w:sz w:val="22"/>
          <w:lang w:val="en-GB"/>
        </w:rPr>
        <w:t xml:space="preserve">  </w:t>
      </w:r>
      <w:r w:rsidR="00C24345">
        <w:rPr>
          <w:rFonts w:ascii="Arial" w:eastAsia="宋体" w:hAnsi="Arial" w:cs="Arial" w:hint="eastAsia"/>
          <w:b/>
          <w:noProof/>
          <w:kern w:val="0"/>
          <w:sz w:val="22"/>
          <w:lang w:val="en-GB"/>
        </w:rPr>
        <w:t>Discussion on IAB scenario 2</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131991">
        <w:rPr>
          <w:rFonts w:ascii="Arial" w:eastAsia="宋体" w:hAnsi="Arial" w:cs="Arial" w:hint="eastAsia"/>
          <w:b/>
          <w:noProof/>
          <w:kern w:val="0"/>
          <w:sz w:val="22"/>
          <w:szCs w:val="22"/>
          <w:lang w:val="en-GB"/>
        </w:rPr>
        <w:t>Discussion</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AF28D5" w:rsidRDefault="00125BD0" w:rsidP="00537A2F">
      <w:pPr>
        <w:spacing w:afterLines="50" w:after="156"/>
        <w:rPr>
          <w:szCs w:val="21"/>
        </w:rPr>
      </w:pPr>
      <w:r>
        <w:rPr>
          <w:rFonts w:hint="eastAsia"/>
          <w:szCs w:val="21"/>
        </w:rPr>
        <w:t>In previous discussion,</w:t>
      </w:r>
      <w:r w:rsidR="00481E71">
        <w:rPr>
          <w:rFonts w:hint="eastAsia"/>
          <w:szCs w:val="21"/>
        </w:rPr>
        <w:t xml:space="preserve"> there is</w:t>
      </w:r>
      <w:r>
        <w:rPr>
          <w:rFonts w:hint="eastAsia"/>
          <w:szCs w:val="21"/>
        </w:rPr>
        <w:t xml:space="preserve"> interesti</w:t>
      </w:r>
      <w:r w:rsidR="00481E71">
        <w:rPr>
          <w:rFonts w:hint="eastAsia"/>
          <w:szCs w:val="21"/>
        </w:rPr>
        <w:t xml:space="preserve">ng to discuss the IAB RF requirement enabling the forward compatibility for enhanced </w:t>
      </w:r>
      <w:r w:rsidR="00481E71">
        <w:rPr>
          <w:szCs w:val="21"/>
        </w:rPr>
        <w:t>duplexer</w:t>
      </w:r>
      <w:r>
        <w:rPr>
          <w:rFonts w:hint="eastAsia"/>
          <w:szCs w:val="21"/>
        </w:rPr>
        <w:t>. Ba</w:t>
      </w:r>
      <w:r w:rsidR="00481E71">
        <w:rPr>
          <w:rFonts w:hint="eastAsia"/>
          <w:szCs w:val="21"/>
        </w:rPr>
        <w:t xml:space="preserve">sed on the scenario discussed </w:t>
      </w:r>
      <w:r w:rsidR="00750A5E">
        <w:rPr>
          <w:rFonts w:hint="eastAsia"/>
          <w:szCs w:val="21"/>
        </w:rPr>
        <w:t xml:space="preserve">so far, the intention is to allow </w:t>
      </w:r>
      <w:r w:rsidR="00750A5E">
        <w:rPr>
          <w:szCs w:val="21"/>
        </w:rPr>
        <w:t>simultaneous</w:t>
      </w:r>
      <w:r w:rsidR="00750A5E">
        <w:rPr>
          <w:rFonts w:hint="eastAsia"/>
          <w:szCs w:val="21"/>
        </w:rPr>
        <w:t xml:space="preserve"> Downlink transmission on IAB-MT and IAB-DU</w:t>
      </w:r>
      <w:r w:rsidR="002D5B85">
        <w:rPr>
          <w:rFonts w:hint="eastAsia"/>
          <w:szCs w:val="21"/>
        </w:rPr>
        <w:t xml:space="preserve"> </w:t>
      </w:r>
      <w:r w:rsidR="00A55A91">
        <w:rPr>
          <w:rFonts w:hint="eastAsia"/>
          <w:szCs w:val="21"/>
        </w:rPr>
        <w:t xml:space="preserve">(and potentially reception from parent node and IAB node </w:t>
      </w:r>
      <w:r w:rsidR="00A55A91">
        <w:rPr>
          <w:szCs w:val="21"/>
        </w:rPr>
        <w:t>simultaneously</w:t>
      </w:r>
      <w:r w:rsidR="00A55A91">
        <w:rPr>
          <w:rFonts w:hint="eastAsia"/>
          <w:szCs w:val="21"/>
        </w:rPr>
        <w:t xml:space="preserve">) </w:t>
      </w:r>
      <w:r w:rsidR="002D5B85">
        <w:rPr>
          <w:rFonts w:hint="eastAsia"/>
          <w:szCs w:val="21"/>
        </w:rPr>
        <w:t xml:space="preserve">to ensure the </w:t>
      </w:r>
      <w:r w:rsidR="00E141EC">
        <w:rPr>
          <w:rFonts w:hint="eastAsia"/>
          <w:szCs w:val="21"/>
        </w:rPr>
        <w:t xml:space="preserve">system </w:t>
      </w:r>
      <w:r w:rsidR="002D5B85">
        <w:rPr>
          <w:rFonts w:hint="eastAsia"/>
          <w:szCs w:val="21"/>
        </w:rPr>
        <w:t xml:space="preserve">efficiency and avoid </w:t>
      </w:r>
      <w:r w:rsidR="002D5B85">
        <w:rPr>
          <w:szCs w:val="21"/>
        </w:rPr>
        <w:t>viol</w:t>
      </w:r>
      <w:r w:rsidR="002D5B85">
        <w:rPr>
          <w:rFonts w:hint="eastAsia"/>
          <w:szCs w:val="21"/>
        </w:rPr>
        <w:t>ate with potential regional regulation</w:t>
      </w:r>
      <w:r w:rsidR="00750A5E">
        <w:rPr>
          <w:rFonts w:hint="eastAsia"/>
          <w:szCs w:val="21"/>
        </w:rPr>
        <w:t xml:space="preserve">. </w:t>
      </w:r>
    </w:p>
    <w:p w:rsidR="006542B8" w:rsidRPr="004914E1" w:rsidRDefault="006542B8" w:rsidP="00537A2F">
      <w:pPr>
        <w:spacing w:afterLines="50" w:after="156"/>
        <w:rPr>
          <w:szCs w:val="21"/>
        </w:rPr>
      </w:pPr>
      <w:r>
        <w:rPr>
          <w:rFonts w:hint="eastAsia"/>
          <w:szCs w:val="21"/>
        </w:rPr>
        <w:t>In this co</w:t>
      </w:r>
      <w:r w:rsidR="00C24345">
        <w:rPr>
          <w:rFonts w:hint="eastAsia"/>
          <w:szCs w:val="21"/>
        </w:rPr>
        <w:t xml:space="preserve">ntribution we try to clarify this scenario further. </w:t>
      </w:r>
    </w:p>
    <w:p w:rsidR="002A5A60" w:rsidRDefault="002A5A60" w:rsidP="002A5A60">
      <w:pPr>
        <w:pStyle w:val="Heading1"/>
        <w:rPr>
          <w:rFonts w:cs="Arial"/>
          <w:lang w:eastAsia="zh-CN"/>
        </w:rPr>
      </w:pPr>
      <w:r>
        <w:rPr>
          <w:rFonts w:cs="Arial" w:hint="eastAsia"/>
          <w:lang w:eastAsia="zh-CN"/>
        </w:rPr>
        <w:t>Discussion</w:t>
      </w:r>
    </w:p>
    <w:p w:rsidR="006A2402" w:rsidRDefault="00131991" w:rsidP="00BE15F5">
      <w:pPr>
        <w:rPr>
          <w:szCs w:val="21"/>
        </w:rPr>
      </w:pPr>
      <w:r>
        <w:rPr>
          <w:rFonts w:hint="eastAsia"/>
          <w:szCs w:val="21"/>
        </w:rPr>
        <w:t xml:space="preserve"> </w:t>
      </w:r>
      <w:r w:rsidR="00904B5A">
        <w:rPr>
          <w:rFonts w:hint="eastAsia"/>
          <w:szCs w:val="21"/>
        </w:rPr>
        <w:t>According to the co-existence study the scenario 2 is described as below:</w:t>
      </w:r>
    </w:p>
    <w:p w:rsidR="004A5FF6" w:rsidRPr="00904B5A" w:rsidRDefault="004724FA" w:rsidP="00904B5A">
      <w:pPr>
        <w:numPr>
          <w:ilvl w:val="0"/>
          <w:numId w:val="23"/>
        </w:numPr>
        <w:rPr>
          <w:i/>
          <w:szCs w:val="21"/>
        </w:rPr>
      </w:pPr>
      <w:r w:rsidRPr="00904B5A">
        <w:rPr>
          <w:i/>
          <w:szCs w:val="21"/>
        </w:rPr>
        <w:t>Scenario 2: only Layout 2</w:t>
      </w:r>
    </w:p>
    <w:p w:rsidR="004A5FF6" w:rsidRPr="00904B5A" w:rsidRDefault="004724FA" w:rsidP="00904B5A">
      <w:pPr>
        <w:numPr>
          <w:ilvl w:val="1"/>
          <w:numId w:val="23"/>
        </w:numPr>
        <w:rPr>
          <w:i/>
          <w:szCs w:val="21"/>
        </w:rPr>
      </w:pPr>
      <w:r w:rsidRPr="00904B5A">
        <w:rPr>
          <w:i/>
          <w:szCs w:val="21"/>
        </w:rPr>
        <w:t xml:space="preserve">In case of TDM operation the following mapping of IAB node transmission/reception to a TDD pattern (DL/UL/F resources) is assumed: </w:t>
      </w:r>
    </w:p>
    <w:p w:rsidR="004A5FF6" w:rsidRPr="00904B5A" w:rsidRDefault="004724FA" w:rsidP="00904B5A">
      <w:pPr>
        <w:numPr>
          <w:ilvl w:val="2"/>
          <w:numId w:val="23"/>
        </w:numPr>
        <w:rPr>
          <w:i/>
          <w:szCs w:val="21"/>
        </w:rPr>
      </w:pPr>
      <w:r w:rsidRPr="00904B5A">
        <w:rPr>
          <w:i/>
          <w:szCs w:val="21"/>
        </w:rPr>
        <w:t>IAB DU transmission / IAB MT reception: DL time slots</w:t>
      </w:r>
    </w:p>
    <w:p w:rsidR="004A5FF6" w:rsidRPr="00904B5A" w:rsidRDefault="004724FA" w:rsidP="00904B5A">
      <w:pPr>
        <w:numPr>
          <w:ilvl w:val="2"/>
          <w:numId w:val="23"/>
        </w:numPr>
        <w:rPr>
          <w:i/>
          <w:szCs w:val="21"/>
        </w:rPr>
      </w:pPr>
      <w:r w:rsidRPr="00904B5A">
        <w:rPr>
          <w:i/>
          <w:szCs w:val="21"/>
        </w:rPr>
        <w:t>IAB MT transmission / IAB DU reception: DL time slots</w:t>
      </w:r>
    </w:p>
    <w:p w:rsidR="00904B5A" w:rsidRDefault="00904B5A" w:rsidP="00BE15F5">
      <w:pPr>
        <w:rPr>
          <w:szCs w:val="21"/>
        </w:rPr>
      </w:pPr>
      <w:r>
        <w:rPr>
          <w:rFonts w:hint="eastAsia"/>
          <w:szCs w:val="21"/>
        </w:rPr>
        <w:t xml:space="preserve">It should be clarified </w:t>
      </w:r>
      <w:r>
        <w:rPr>
          <w:szCs w:val="21"/>
        </w:rPr>
        <w:t>that</w:t>
      </w:r>
      <w:r>
        <w:rPr>
          <w:rFonts w:hint="eastAsia"/>
          <w:szCs w:val="21"/>
        </w:rPr>
        <w:t xml:space="preserve"> the IAB </w:t>
      </w:r>
      <w:r w:rsidR="00AF28FA">
        <w:rPr>
          <w:rFonts w:hint="eastAsia"/>
          <w:szCs w:val="21"/>
        </w:rPr>
        <w:t xml:space="preserve">DU reception on DL time slots refers to IAB DU reception of its child IAB MT transmission. And IAB MT reception on DL time slots indicates IAB MT </w:t>
      </w:r>
      <w:r w:rsidR="00AF28FA">
        <w:rPr>
          <w:szCs w:val="21"/>
        </w:rPr>
        <w:t>reception</w:t>
      </w:r>
      <w:r w:rsidR="00AF28FA">
        <w:rPr>
          <w:rFonts w:hint="eastAsia"/>
          <w:szCs w:val="21"/>
        </w:rPr>
        <w:t xml:space="preserve"> of the IAB-donor or IAB parent transmission. For certain </w:t>
      </w:r>
      <w:r w:rsidR="00D56D58">
        <w:rPr>
          <w:rFonts w:hint="eastAsia"/>
          <w:szCs w:val="21"/>
        </w:rPr>
        <w:t>IAB node, it</w:t>
      </w:r>
      <w:r w:rsidR="00D56D58">
        <w:rPr>
          <w:szCs w:val="21"/>
        </w:rPr>
        <w:t>’</w:t>
      </w:r>
      <w:r w:rsidR="00D56D58">
        <w:rPr>
          <w:rFonts w:hint="eastAsia"/>
          <w:szCs w:val="21"/>
        </w:rPr>
        <w:t xml:space="preserve">s possible to support </w:t>
      </w:r>
      <w:r w:rsidR="00D56D58">
        <w:rPr>
          <w:szCs w:val="21"/>
        </w:rPr>
        <w:t>simultaneously</w:t>
      </w:r>
      <w:r w:rsidR="00D56D58">
        <w:rPr>
          <w:rFonts w:hint="eastAsia"/>
          <w:szCs w:val="21"/>
        </w:rPr>
        <w:t xml:space="preserve"> transmission of IAB MT and IAB DU according to configuration. But transmission on single interface is still allowed. What</w:t>
      </w:r>
      <w:r w:rsidR="00D56D58">
        <w:rPr>
          <w:szCs w:val="21"/>
        </w:rPr>
        <w:t>’</w:t>
      </w:r>
      <w:r w:rsidR="00D56D58">
        <w:rPr>
          <w:rFonts w:hint="eastAsia"/>
          <w:szCs w:val="21"/>
        </w:rPr>
        <w:t xml:space="preserve">s needed to be </w:t>
      </w:r>
      <w:r w:rsidR="00D56D58">
        <w:rPr>
          <w:rFonts w:ascii="Arial" w:hAnsi="Arial" w:cs="Arial"/>
          <w:color w:val="2E3033"/>
          <w:sz w:val="18"/>
          <w:szCs w:val="18"/>
          <w:shd w:val="clear" w:color="auto" w:fill="F9FBFC"/>
        </w:rPr>
        <w:t>emphasize</w:t>
      </w:r>
      <w:r w:rsidR="00D56D58">
        <w:rPr>
          <w:rFonts w:ascii="Arial" w:hAnsi="Arial" w:cs="Arial" w:hint="eastAsia"/>
          <w:color w:val="2E3033"/>
          <w:sz w:val="18"/>
          <w:szCs w:val="18"/>
          <w:shd w:val="clear" w:color="auto" w:fill="F9FBFC"/>
        </w:rPr>
        <w:t xml:space="preserve">d it that </w:t>
      </w:r>
      <w:r w:rsidR="00D56D58">
        <w:rPr>
          <w:rFonts w:hint="eastAsia"/>
          <w:szCs w:val="21"/>
        </w:rPr>
        <w:t>t</w:t>
      </w:r>
      <w:r w:rsidR="00AF28FA">
        <w:rPr>
          <w:rFonts w:hint="eastAsia"/>
          <w:szCs w:val="21"/>
        </w:rPr>
        <w:t xml:space="preserve">here is not any impact on UE </w:t>
      </w:r>
      <w:r w:rsidR="00AF28FA">
        <w:rPr>
          <w:szCs w:val="21"/>
        </w:rPr>
        <w:t>behavior</w:t>
      </w:r>
      <w:r w:rsidR="00AF28FA">
        <w:rPr>
          <w:rFonts w:hint="eastAsia"/>
          <w:szCs w:val="21"/>
        </w:rPr>
        <w:t xml:space="preserve"> </w:t>
      </w:r>
      <w:r w:rsidR="00D56D58">
        <w:rPr>
          <w:rFonts w:hint="eastAsia"/>
          <w:szCs w:val="21"/>
        </w:rPr>
        <w:t>which is clearly captured in IAB WI originally</w:t>
      </w:r>
      <w:r w:rsidR="00AF28FA">
        <w:rPr>
          <w:rFonts w:hint="eastAsia"/>
          <w:szCs w:val="21"/>
        </w:rPr>
        <w:t xml:space="preserve">. </w:t>
      </w:r>
    </w:p>
    <w:p w:rsidR="00F5668F" w:rsidRDefault="00F5668F" w:rsidP="00BE15F5">
      <w:pPr>
        <w:rPr>
          <w:szCs w:val="21"/>
        </w:rPr>
      </w:pPr>
      <w:r>
        <w:rPr>
          <w:rFonts w:hint="eastAsia"/>
          <w:szCs w:val="21"/>
        </w:rPr>
        <w:t xml:space="preserve">It would be </w:t>
      </w:r>
      <w:r>
        <w:rPr>
          <w:szCs w:val="21"/>
        </w:rPr>
        <w:t>beneficial</w:t>
      </w:r>
      <w:r>
        <w:rPr>
          <w:rFonts w:hint="eastAsia"/>
          <w:szCs w:val="21"/>
        </w:rPr>
        <w:t xml:space="preserve"> to clarify the assumption of this scenario further, i.e., except the IAB MT transmission </w:t>
      </w:r>
      <w:r w:rsidR="00AB01DF">
        <w:rPr>
          <w:rFonts w:hint="eastAsia"/>
          <w:szCs w:val="21"/>
        </w:rPr>
        <w:t xml:space="preserve">for NR backhauling </w:t>
      </w:r>
      <w:r>
        <w:rPr>
          <w:rFonts w:hint="eastAsia"/>
          <w:szCs w:val="21"/>
        </w:rPr>
        <w:t>happens only in down time slot</w:t>
      </w:r>
      <w:r w:rsidR="00AB01DF">
        <w:rPr>
          <w:rFonts w:hint="eastAsia"/>
          <w:szCs w:val="21"/>
        </w:rPr>
        <w:t xml:space="preserve"> in its connection mode</w:t>
      </w:r>
      <w:r>
        <w:rPr>
          <w:rFonts w:hint="eastAsia"/>
          <w:szCs w:val="21"/>
        </w:rPr>
        <w:t xml:space="preserve">, whether there is any other difference between this IAB-MT </w:t>
      </w:r>
      <w:r>
        <w:rPr>
          <w:szCs w:val="21"/>
        </w:rPr>
        <w:t>behavior</w:t>
      </w:r>
      <w:r>
        <w:rPr>
          <w:rFonts w:hint="eastAsia"/>
          <w:szCs w:val="21"/>
        </w:rPr>
        <w:t xml:space="preserve"> compared with IAB-MT </w:t>
      </w:r>
      <w:r>
        <w:rPr>
          <w:szCs w:val="21"/>
        </w:rPr>
        <w:t>behavior</w:t>
      </w:r>
      <w:r>
        <w:rPr>
          <w:rFonts w:hint="eastAsia"/>
          <w:szCs w:val="21"/>
        </w:rPr>
        <w:t xml:space="preserve"> expected for scenario 1. Here we list several aspects as below which are believed deserved </w:t>
      </w:r>
      <w:r>
        <w:rPr>
          <w:szCs w:val="21"/>
        </w:rPr>
        <w:t>explanation</w:t>
      </w:r>
      <w:r>
        <w:rPr>
          <w:rFonts w:hint="eastAsia"/>
          <w:szCs w:val="21"/>
        </w:rPr>
        <w:t xml:space="preserve">.   </w:t>
      </w:r>
    </w:p>
    <w:p w:rsidR="001F2C35" w:rsidRDefault="001F2C35" w:rsidP="00BE15F5">
      <w:pPr>
        <w:rPr>
          <w:szCs w:val="21"/>
        </w:rPr>
      </w:pPr>
    </w:p>
    <w:p w:rsidR="00125BD0" w:rsidRPr="001F2C35" w:rsidRDefault="001F2C35" w:rsidP="00125BD0">
      <w:pPr>
        <w:widowControl/>
        <w:jc w:val="left"/>
        <w:rPr>
          <w:b/>
        </w:rPr>
      </w:pPr>
      <w:r w:rsidRPr="001F2C35">
        <w:rPr>
          <w:rFonts w:hint="eastAsia"/>
          <w:b/>
        </w:rPr>
        <w:t>IA and RACH</w:t>
      </w:r>
    </w:p>
    <w:p w:rsidR="00282040" w:rsidRDefault="001F2C35" w:rsidP="00E37463">
      <w:pPr>
        <w:widowControl/>
      </w:pPr>
      <w:r>
        <w:rPr>
          <w:rFonts w:hint="eastAsia"/>
        </w:rPr>
        <w:t>Before normal DL/UL communication between IAB node and IAB donor or IAB parent, t</w:t>
      </w:r>
      <w:r w:rsidR="00125BD0">
        <w:rPr>
          <w:rFonts w:hint="eastAsia"/>
        </w:rPr>
        <w:t xml:space="preserve">he IAB node should </w:t>
      </w:r>
      <w:r w:rsidR="00125BD0">
        <w:t>f</w:t>
      </w:r>
      <w:r w:rsidR="00125BD0">
        <w:rPr>
          <w:rFonts w:hint="eastAsia"/>
        </w:rPr>
        <w:t xml:space="preserve">ollow all UE procedure to search and access certain </w:t>
      </w:r>
      <w:r w:rsidR="000C3815">
        <w:rPr>
          <w:rFonts w:hint="eastAsia"/>
        </w:rPr>
        <w:t xml:space="preserve">NR </w:t>
      </w:r>
      <w:r w:rsidR="00125BD0">
        <w:rPr>
          <w:rFonts w:hint="eastAsia"/>
        </w:rPr>
        <w:t xml:space="preserve">network. That means the IAB have to comply with the corresponding </w:t>
      </w:r>
      <w:r w:rsidR="00125BD0">
        <w:t>constraint</w:t>
      </w:r>
      <w:r w:rsidR="00125BD0">
        <w:rPr>
          <w:rFonts w:hint="eastAsia"/>
        </w:rPr>
        <w:t xml:space="preserve"> in this phase</w:t>
      </w:r>
      <w:r w:rsidR="000C3815">
        <w:rPr>
          <w:rFonts w:hint="eastAsia"/>
        </w:rPr>
        <w:t xml:space="preserve"> with specific SSB/RMSI periodicity (160ms) for IAB MT access purpose</w:t>
      </w:r>
      <w:r w:rsidR="00125BD0">
        <w:rPr>
          <w:rFonts w:hint="eastAsia"/>
        </w:rPr>
        <w:t>.</w:t>
      </w:r>
      <w:r w:rsidR="00282040">
        <w:rPr>
          <w:rFonts w:hint="eastAsia"/>
        </w:rPr>
        <w:t xml:space="preserve"> This shall be applied to IAB can be operated in scenario 2 as well. </w:t>
      </w:r>
      <w:r>
        <w:rPr>
          <w:rFonts w:hint="eastAsia"/>
        </w:rPr>
        <w:t>The same to PRACH, IAB-MT shall support PRACH transmission following RAN1 agreement on e</w:t>
      </w:r>
      <w:r w:rsidRPr="001F2C35">
        <w:t>xtension of RACH occasion</w:t>
      </w:r>
      <w:r>
        <w:t xml:space="preserve">s and periodicities for </w:t>
      </w:r>
      <w:r>
        <w:rPr>
          <w:rFonts w:hint="eastAsia"/>
        </w:rPr>
        <w:t xml:space="preserve">it upstream backhaul link. </w:t>
      </w:r>
    </w:p>
    <w:p w:rsidR="001F2C35" w:rsidRDefault="001F2C35" w:rsidP="00E37463">
      <w:pPr>
        <w:widowControl/>
      </w:pPr>
    </w:p>
    <w:p w:rsidR="008B3BA7" w:rsidRPr="001F2C35" w:rsidRDefault="008B3BA7" w:rsidP="00E37463">
      <w:pPr>
        <w:widowControl/>
        <w:rPr>
          <w:b/>
        </w:rPr>
      </w:pPr>
      <w:r w:rsidRPr="001F2C35">
        <w:rPr>
          <w:rFonts w:hint="eastAsia"/>
          <w:b/>
        </w:rPr>
        <w:t>Cell discovery and measurement</w:t>
      </w:r>
    </w:p>
    <w:p w:rsidR="00AA461C" w:rsidRDefault="00125BD0" w:rsidP="00E37463">
      <w:pPr>
        <w:widowControl/>
      </w:pPr>
      <w:r>
        <w:lastRenderedPageBreak/>
        <w:t>A</w:t>
      </w:r>
      <w:r>
        <w:rPr>
          <w:rFonts w:hint="eastAsia"/>
        </w:rPr>
        <w:t xml:space="preserve">fter that it </w:t>
      </w:r>
      <w:r w:rsidR="000C3815">
        <w:rPr>
          <w:rFonts w:hint="eastAsia"/>
        </w:rPr>
        <w:t>can</w:t>
      </w:r>
      <w:r>
        <w:rPr>
          <w:rFonts w:hint="eastAsia"/>
        </w:rPr>
        <w:t xml:space="preserve"> operate as purely BS in DL if it is configured to transmit</w:t>
      </w:r>
      <w:r w:rsidR="000C3815">
        <w:rPr>
          <w:rFonts w:hint="eastAsia"/>
        </w:rPr>
        <w:t xml:space="preserve"> on </w:t>
      </w:r>
      <w:r w:rsidR="008B3BA7">
        <w:rPr>
          <w:rFonts w:hint="eastAsia"/>
        </w:rPr>
        <w:t xml:space="preserve">its own </w:t>
      </w:r>
      <w:r w:rsidR="000C3815">
        <w:rPr>
          <w:rFonts w:hint="eastAsia"/>
        </w:rPr>
        <w:t>MT</w:t>
      </w:r>
      <w:r w:rsidR="008B3BA7">
        <w:rPr>
          <w:rFonts w:hint="eastAsia"/>
        </w:rPr>
        <w:t xml:space="preserve"> and DU</w:t>
      </w:r>
      <w:r>
        <w:rPr>
          <w:rFonts w:hint="eastAsia"/>
        </w:rPr>
        <w:t xml:space="preserve">. But there is unavoidable case in which the </w:t>
      </w:r>
      <w:proofErr w:type="spellStart"/>
      <w:r>
        <w:rPr>
          <w:rFonts w:hint="eastAsia"/>
        </w:rPr>
        <w:t>gNB</w:t>
      </w:r>
      <w:proofErr w:type="spellEnd"/>
      <w:r>
        <w:rPr>
          <w:rFonts w:hint="eastAsia"/>
        </w:rPr>
        <w:t xml:space="preserve"> and IAB have to survive in reception of DL time slot with </w:t>
      </w:r>
      <w:r>
        <w:t>interference</w:t>
      </w:r>
      <w:r>
        <w:rPr>
          <w:rFonts w:hint="eastAsia"/>
        </w:rPr>
        <w:t xml:space="preserve"> from co-channel BS interference and adjacent </w:t>
      </w:r>
      <w:r>
        <w:t>channel</w:t>
      </w:r>
      <w:r>
        <w:rPr>
          <w:rFonts w:hint="eastAsia"/>
        </w:rPr>
        <w:t xml:space="preserve"> BS </w:t>
      </w:r>
      <w:r>
        <w:t>interference</w:t>
      </w:r>
      <w:r>
        <w:rPr>
          <w:rFonts w:hint="eastAsia"/>
        </w:rPr>
        <w:t xml:space="preserve">. </w:t>
      </w:r>
      <w:r w:rsidR="001F2C35">
        <w:rPr>
          <w:rFonts w:hint="eastAsia"/>
        </w:rPr>
        <w:t xml:space="preserve">Whether and how to understand the IAB-MT </w:t>
      </w:r>
      <w:r w:rsidR="001F2C35">
        <w:t>behavior</w:t>
      </w:r>
      <w:r w:rsidR="001F2C35">
        <w:rPr>
          <w:rFonts w:hint="eastAsia"/>
        </w:rPr>
        <w:t xml:space="preserve"> on mobility </w:t>
      </w:r>
      <w:r w:rsidR="001F2C35">
        <w:t>measurement</w:t>
      </w:r>
      <w:r w:rsidR="001F2C35">
        <w:rPr>
          <w:rFonts w:hint="eastAsia"/>
        </w:rPr>
        <w:t xml:space="preserve"> ought to be discussed. It is recognized that since IAB-MT will still receive on Downlink from IAB donor or IAB parent, the corresponding measurement for mobility should be still retained. </w:t>
      </w:r>
      <w:r w:rsidR="00AA461C">
        <w:rPr>
          <w:rFonts w:hint="eastAsia"/>
        </w:rPr>
        <w:t xml:space="preserve">However, in the interface of IAB-DU even though the reception of it child IAB is on Downlink, that is for backhauling child access data, no RRM measurement is requested on for </w:t>
      </w:r>
      <w:r w:rsidR="009922CC">
        <w:rPr>
          <w:rFonts w:hint="eastAsia"/>
        </w:rPr>
        <w:t>IAB donor and/or IAB parent</w:t>
      </w:r>
      <w:r w:rsidR="00AA461C">
        <w:rPr>
          <w:rFonts w:hint="eastAsia"/>
        </w:rPr>
        <w:t xml:space="preserve"> reception. </w:t>
      </w:r>
    </w:p>
    <w:p w:rsidR="009922CC" w:rsidRDefault="009922CC" w:rsidP="00E37463">
      <w:pPr>
        <w:widowControl/>
      </w:pPr>
    </w:p>
    <w:p w:rsidR="00AA461C" w:rsidRDefault="00AA461C" w:rsidP="00E37463">
      <w:pPr>
        <w:widowControl/>
        <w:rPr>
          <w:b/>
        </w:rPr>
      </w:pPr>
      <w:r w:rsidRPr="00AA461C">
        <w:rPr>
          <w:rFonts w:hint="eastAsia"/>
          <w:b/>
        </w:rPr>
        <w:t xml:space="preserve">Physical layer </w:t>
      </w:r>
      <w:r w:rsidR="009922CC">
        <w:rPr>
          <w:rFonts w:hint="eastAsia"/>
          <w:b/>
        </w:rPr>
        <w:t xml:space="preserve">channel </w:t>
      </w:r>
      <w:r w:rsidRPr="00AA461C">
        <w:rPr>
          <w:rFonts w:hint="eastAsia"/>
          <w:b/>
        </w:rPr>
        <w:t>to be used for IAB-MT transmission</w:t>
      </w:r>
    </w:p>
    <w:p w:rsidR="009922CC" w:rsidRDefault="009922CC" w:rsidP="009922CC">
      <w:r>
        <w:rPr>
          <w:rFonts w:hint="eastAsia"/>
        </w:rPr>
        <w:t>The other issue is the physical layer channel to be used in IAB-MT t</w:t>
      </w:r>
      <w:r w:rsidR="001E3203">
        <w:rPr>
          <w:rFonts w:hint="eastAsia"/>
        </w:rPr>
        <w:t>ransmission in DL time slot to</w:t>
      </w:r>
      <w:r>
        <w:rPr>
          <w:rFonts w:hint="eastAsia"/>
        </w:rPr>
        <w:t xml:space="preserve"> </w:t>
      </w:r>
      <w:r w:rsidR="001E3203">
        <w:rPr>
          <w:rFonts w:hint="eastAsia"/>
        </w:rPr>
        <w:t xml:space="preserve">its </w:t>
      </w:r>
      <w:r>
        <w:rPr>
          <w:rFonts w:hint="eastAsia"/>
        </w:rPr>
        <w:t xml:space="preserve">donor </w:t>
      </w:r>
      <w:proofErr w:type="spellStart"/>
      <w:r>
        <w:rPr>
          <w:rFonts w:hint="eastAsia"/>
        </w:rPr>
        <w:t>gNB</w:t>
      </w:r>
      <w:proofErr w:type="spellEnd"/>
      <w:r>
        <w:rPr>
          <w:rFonts w:hint="eastAsia"/>
        </w:rPr>
        <w:t xml:space="preserve"> and parent IAB. Downlink </w:t>
      </w:r>
      <w:r>
        <w:t>physical</w:t>
      </w:r>
      <w:r>
        <w:rPr>
          <w:rFonts w:hint="eastAsia"/>
        </w:rPr>
        <w:t xml:space="preserve"> channel or Uplink </w:t>
      </w:r>
      <w:r>
        <w:t>physical</w:t>
      </w:r>
      <w:r>
        <w:rPr>
          <w:rFonts w:hint="eastAsia"/>
        </w:rPr>
        <w:t xml:space="preserve"> channel?</w:t>
      </w:r>
    </w:p>
    <w:p w:rsidR="001E3203" w:rsidRDefault="009922CC" w:rsidP="003E3887">
      <w:r>
        <w:rPr>
          <w:rFonts w:hint="eastAsia"/>
        </w:rPr>
        <w:t xml:space="preserve">From the angle of IAB </w:t>
      </w:r>
      <w:r>
        <w:t>behavior</w:t>
      </w:r>
      <w:r>
        <w:rPr>
          <w:rFonts w:hint="eastAsia"/>
        </w:rPr>
        <w:t xml:space="preserve"> alignment, the transmission of IAB in DL time slot is better to focus on DL physical channel. Consequently if IAB is in RX mode of DL time slot, the </w:t>
      </w:r>
      <w:r>
        <w:t>physical</w:t>
      </w:r>
      <w:r>
        <w:rPr>
          <w:rFonts w:hint="eastAsia"/>
        </w:rPr>
        <w:t xml:space="preserve"> channel to be </w:t>
      </w:r>
      <w:r>
        <w:t>received</w:t>
      </w:r>
      <w:r>
        <w:rPr>
          <w:rFonts w:hint="eastAsia"/>
        </w:rPr>
        <w:t xml:space="preserve"> from donor </w:t>
      </w:r>
      <w:proofErr w:type="spellStart"/>
      <w:r>
        <w:rPr>
          <w:rFonts w:hint="eastAsia"/>
        </w:rPr>
        <w:t>gNB</w:t>
      </w:r>
      <w:proofErr w:type="spellEnd"/>
      <w:r>
        <w:rPr>
          <w:rFonts w:hint="eastAsia"/>
        </w:rPr>
        <w:t xml:space="preserve">, parent </w:t>
      </w:r>
      <w:proofErr w:type="spellStart"/>
      <w:r>
        <w:rPr>
          <w:rFonts w:hint="eastAsia"/>
        </w:rPr>
        <w:t>gNB</w:t>
      </w:r>
      <w:proofErr w:type="spellEnd"/>
      <w:r>
        <w:rPr>
          <w:rFonts w:hint="eastAsia"/>
        </w:rPr>
        <w:t xml:space="preserve"> and/or child </w:t>
      </w:r>
      <w:proofErr w:type="spellStart"/>
      <w:r>
        <w:rPr>
          <w:rFonts w:hint="eastAsia"/>
        </w:rPr>
        <w:t>gNB</w:t>
      </w:r>
      <w:proofErr w:type="spellEnd"/>
      <w:r>
        <w:rPr>
          <w:rFonts w:hint="eastAsia"/>
        </w:rPr>
        <w:t xml:space="preserve"> would be the same as DL </w:t>
      </w:r>
      <w:r>
        <w:t>physical</w:t>
      </w:r>
      <w:r>
        <w:rPr>
          <w:rFonts w:hint="eastAsia"/>
        </w:rPr>
        <w:t xml:space="preserve"> channel. This is </w:t>
      </w:r>
      <w:r>
        <w:t>durable</w:t>
      </w:r>
      <w:r>
        <w:rPr>
          <w:rFonts w:hint="eastAsia"/>
        </w:rPr>
        <w:t xml:space="preserve"> for IAB node. However, this may bring in burden for </w:t>
      </w:r>
      <w:proofErr w:type="spellStart"/>
      <w:r>
        <w:rPr>
          <w:rFonts w:hint="eastAsia"/>
        </w:rPr>
        <w:t>gNB</w:t>
      </w:r>
      <w:proofErr w:type="spellEnd"/>
      <w:r>
        <w:rPr>
          <w:rFonts w:hint="eastAsia"/>
        </w:rPr>
        <w:t xml:space="preserve"> to support IAB to receive DL physical channel. It should be considered more regarding the physical channel to be used by IAB transmission. For this case the other alternative way is to force IAB-MT transmission on UL physical layer even for DL time slot. This may result in IAB transmits UL physical channel on MT panel and DL physical channel on DU </w:t>
      </w:r>
      <w:r>
        <w:t>simultaneously</w:t>
      </w:r>
      <w:r>
        <w:rPr>
          <w:rFonts w:hint="eastAsia"/>
        </w:rPr>
        <w:t xml:space="preserve"> which may bring burden on IAB implementation. Compared with two alternatives, it would be </w:t>
      </w:r>
      <w:r>
        <w:t>preferred</w:t>
      </w:r>
      <w:r>
        <w:rPr>
          <w:rFonts w:hint="eastAsia"/>
        </w:rPr>
        <w:t xml:space="preserve"> to push load o</w:t>
      </w:r>
      <w:r w:rsidR="001E3203">
        <w:rPr>
          <w:rFonts w:hint="eastAsia"/>
        </w:rPr>
        <w:t xml:space="preserve">n IAB rather than </w:t>
      </w:r>
      <w:proofErr w:type="spellStart"/>
      <w:r w:rsidR="001E3203">
        <w:rPr>
          <w:rFonts w:hint="eastAsia"/>
        </w:rPr>
        <w:t>gNB</w:t>
      </w:r>
      <w:proofErr w:type="spellEnd"/>
      <w:r w:rsidR="001E3203">
        <w:rPr>
          <w:rFonts w:hint="eastAsia"/>
        </w:rPr>
        <w:t>. The other consideration is that RAN4</w:t>
      </w:r>
      <w:r>
        <w:rPr>
          <w:rFonts w:hint="eastAsia"/>
        </w:rPr>
        <w:t xml:space="preserve"> have agreement that the introduction of IAB should have no </w:t>
      </w:r>
      <w:r>
        <w:t>impact</w:t>
      </w:r>
      <w:r>
        <w:rPr>
          <w:rFonts w:hint="eastAsia"/>
        </w:rPr>
        <w:t xml:space="preserve"> on </w:t>
      </w:r>
      <w:r>
        <w:t>existing</w:t>
      </w:r>
      <w:r>
        <w:rPr>
          <w:rFonts w:hint="eastAsia"/>
        </w:rPr>
        <w:t xml:space="preserve"> </w:t>
      </w:r>
      <w:proofErr w:type="spellStart"/>
      <w:r>
        <w:rPr>
          <w:rFonts w:hint="eastAsia"/>
        </w:rPr>
        <w:t>gNB</w:t>
      </w:r>
      <w:proofErr w:type="spellEnd"/>
      <w:r>
        <w:rPr>
          <w:rFonts w:hint="eastAsia"/>
        </w:rPr>
        <w:t xml:space="preserve"> RF </w:t>
      </w:r>
      <w:r>
        <w:t>requirement</w:t>
      </w:r>
      <w:r>
        <w:rPr>
          <w:rFonts w:hint="eastAsia"/>
        </w:rPr>
        <w:t xml:space="preserve"> defined in TS38.104 which has already agreed and r</w:t>
      </w:r>
      <w:r w:rsidR="003E3887">
        <w:rPr>
          <w:rFonts w:hint="eastAsia"/>
        </w:rPr>
        <w:t xml:space="preserve">eflected in latest WID). Hence it is proposed </w:t>
      </w:r>
      <w:r w:rsidR="003E3887">
        <w:t>that</w:t>
      </w:r>
      <w:r w:rsidR="003E3887">
        <w:rPr>
          <w:rFonts w:hint="eastAsia"/>
        </w:rPr>
        <w:t xml:space="preserve"> </w:t>
      </w:r>
      <w:r w:rsidR="000A6CC1">
        <w:rPr>
          <w:rFonts w:hint="eastAsia"/>
        </w:rPr>
        <w:t xml:space="preserve">for donor BS the reception </w:t>
      </w:r>
      <w:r w:rsidR="003E3887">
        <w:rPr>
          <w:rFonts w:hint="eastAsia"/>
        </w:rPr>
        <w:t>from</w:t>
      </w:r>
      <w:r w:rsidR="000A6CC1">
        <w:rPr>
          <w:rFonts w:hint="eastAsia"/>
        </w:rPr>
        <w:t xml:space="preserve"> IAB-MT transmission in DL time slot</w:t>
      </w:r>
      <w:r w:rsidR="003E3887">
        <w:rPr>
          <w:rFonts w:hint="eastAsia"/>
        </w:rPr>
        <w:t xml:space="preserve">, </w:t>
      </w:r>
      <w:r w:rsidR="00501123">
        <w:rPr>
          <w:rFonts w:hint="eastAsia"/>
        </w:rPr>
        <w:t>which</w:t>
      </w:r>
      <w:r w:rsidR="000A6CC1">
        <w:rPr>
          <w:rFonts w:hint="eastAsia"/>
        </w:rPr>
        <w:t xml:space="preserve"> may or may not be </w:t>
      </w:r>
      <w:r w:rsidR="00501123">
        <w:t>supported</w:t>
      </w:r>
      <w:r w:rsidR="000A6CC1">
        <w:rPr>
          <w:rFonts w:hint="eastAsia"/>
        </w:rPr>
        <w:t xml:space="preserve">, can leave with freedom for </w:t>
      </w:r>
      <w:r w:rsidR="003E3887">
        <w:rPr>
          <w:rFonts w:hint="eastAsia"/>
        </w:rPr>
        <w:t xml:space="preserve">BS </w:t>
      </w:r>
      <w:r w:rsidR="000A6CC1">
        <w:rPr>
          <w:rFonts w:hint="eastAsia"/>
        </w:rPr>
        <w:t xml:space="preserve">implementation. </w:t>
      </w:r>
    </w:p>
    <w:p w:rsidR="000A6CC1" w:rsidRPr="00501123" w:rsidRDefault="000A6CC1" w:rsidP="00E37463">
      <w:pPr>
        <w:widowControl/>
      </w:pPr>
    </w:p>
    <w:p w:rsidR="00125BD0" w:rsidRPr="001E3203" w:rsidRDefault="00125BD0" w:rsidP="00E37463">
      <w:pPr>
        <w:widowControl/>
        <w:rPr>
          <w:b/>
        </w:rPr>
      </w:pPr>
      <w:r w:rsidRPr="001E3203">
        <w:rPr>
          <w:rFonts w:hint="eastAsia"/>
          <w:b/>
        </w:rPr>
        <w:t xml:space="preserve">Timing </w:t>
      </w:r>
    </w:p>
    <w:p w:rsidR="00125BD0" w:rsidRDefault="00125BD0" w:rsidP="00E37463">
      <w:pPr>
        <w:widowControl/>
      </w:pPr>
      <w:r>
        <w:rPr>
          <w:rFonts w:hint="eastAsia"/>
        </w:rPr>
        <w:t xml:space="preserve">In scenario 2 it is allowed that the </w:t>
      </w:r>
      <w:r>
        <w:t>simultaneously</w:t>
      </w:r>
      <w:r>
        <w:rPr>
          <w:rFonts w:hint="eastAsia"/>
        </w:rPr>
        <w:t xml:space="preserve"> transmission on IAB-MT and IAB-DU. To align the IAB-MT and IAB-DU, it may impact the </w:t>
      </w:r>
      <w:r w:rsidR="00501123">
        <w:t>synchronization</w:t>
      </w:r>
      <w:r w:rsidR="00501123">
        <w:rPr>
          <w:rFonts w:hint="eastAsia"/>
        </w:rPr>
        <w:t xml:space="preserve"> case</w:t>
      </w:r>
      <w:r>
        <w:rPr>
          <w:rFonts w:hint="eastAsia"/>
        </w:rPr>
        <w:t xml:space="preserve"> under discussion in RAN1 and RAN4. </w:t>
      </w:r>
      <w:r>
        <w:t>T</w:t>
      </w:r>
      <w:r>
        <w:rPr>
          <w:rFonts w:hint="eastAsia"/>
        </w:rPr>
        <w:t xml:space="preserve">he assumed timing </w:t>
      </w:r>
      <w:r w:rsidR="00383435">
        <w:t>within</w:t>
      </w:r>
      <w:r w:rsidR="00383435">
        <w:rPr>
          <w:rFonts w:hint="eastAsia"/>
        </w:rPr>
        <w:t xml:space="preserve"> one IAB </w:t>
      </w:r>
      <w:r>
        <w:rPr>
          <w:rFonts w:hint="eastAsia"/>
        </w:rPr>
        <w:t xml:space="preserve">is as figure below. Since UE TX only in UL time slot, it is not shown in the picture. </w:t>
      </w:r>
      <w:r w:rsidR="00383435">
        <w:rPr>
          <w:rFonts w:hint="eastAsia"/>
        </w:rPr>
        <w:t>According to Rel-15 IAB WID, RAN1 and RAN4 will study case #1 OTA DL sync</w:t>
      </w:r>
      <w:r w:rsidR="00EC193C">
        <w:rPr>
          <w:rFonts w:hint="eastAsia"/>
        </w:rPr>
        <w:t xml:space="preserve"> only</w:t>
      </w:r>
      <w:r w:rsidR="00383435">
        <w:rPr>
          <w:rFonts w:hint="eastAsia"/>
        </w:rPr>
        <w:t xml:space="preserve">. Discussion </w:t>
      </w:r>
      <w:r w:rsidR="00383435">
        <w:t>provided</w:t>
      </w:r>
      <w:r w:rsidR="00383435">
        <w:rPr>
          <w:rFonts w:hint="eastAsia"/>
        </w:rPr>
        <w:t xml:space="preserve"> below is all based on this assumption. </w:t>
      </w:r>
    </w:p>
    <w:p w:rsidR="00125BD0" w:rsidRDefault="00125BD0" w:rsidP="00501123">
      <w:pPr>
        <w:widowControl/>
      </w:pPr>
      <w:r>
        <w:rPr>
          <w:rFonts w:hint="eastAsia"/>
        </w:rPr>
        <w:t xml:space="preserve">When the IAB </w:t>
      </w:r>
      <w:r w:rsidR="00501123">
        <w:rPr>
          <w:rFonts w:hint="eastAsia"/>
        </w:rPr>
        <w:t xml:space="preserve">is </w:t>
      </w:r>
      <w:r>
        <w:rPr>
          <w:rFonts w:hint="eastAsia"/>
        </w:rPr>
        <w:t xml:space="preserve">in TX mode, it is assumed all </w:t>
      </w:r>
      <w:r>
        <w:t>panels</w:t>
      </w:r>
      <w:r w:rsidR="00501123">
        <w:rPr>
          <w:rFonts w:hint="eastAsia"/>
        </w:rPr>
        <w:t xml:space="preserve"> can be</w:t>
      </w:r>
      <w:r>
        <w:rPr>
          <w:rFonts w:hint="eastAsia"/>
        </w:rPr>
        <w:t xml:space="preserve"> in </w:t>
      </w:r>
      <w:proofErr w:type="spellStart"/>
      <w:proofErr w:type="gramStart"/>
      <w:r>
        <w:rPr>
          <w:rFonts w:hint="eastAsia"/>
        </w:rPr>
        <w:t>Tx</w:t>
      </w:r>
      <w:proofErr w:type="spellEnd"/>
      <w:proofErr w:type="gramEnd"/>
      <w:r>
        <w:rPr>
          <w:rFonts w:hint="eastAsia"/>
        </w:rPr>
        <w:t xml:space="preserve"> mode. And the TX timing shall </w:t>
      </w:r>
      <w:r w:rsidR="00383435">
        <w:rPr>
          <w:rFonts w:hint="eastAsia"/>
        </w:rPr>
        <w:t xml:space="preserve">be </w:t>
      </w:r>
      <w:r>
        <w:rPr>
          <w:rFonts w:hint="eastAsia"/>
        </w:rPr>
        <w:t>align</w:t>
      </w:r>
      <w:r w:rsidR="00383435">
        <w:rPr>
          <w:rFonts w:hint="eastAsia"/>
        </w:rPr>
        <w:t>ed</w:t>
      </w:r>
      <w:r>
        <w:rPr>
          <w:rFonts w:hint="eastAsia"/>
        </w:rPr>
        <w:t xml:space="preserve"> according to OTA sync timing with the DL transmission</w:t>
      </w:r>
      <w:r w:rsidR="00383435">
        <w:rPr>
          <w:rFonts w:hint="eastAsia"/>
        </w:rPr>
        <w:t xml:space="preserve"> for both MT and DU</w:t>
      </w:r>
      <w:r w:rsidR="00EC193C">
        <w:rPr>
          <w:rFonts w:hint="eastAsia"/>
        </w:rPr>
        <w:t>. T</w:t>
      </w:r>
      <w:r>
        <w:rPr>
          <w:rFonts w:hint="eastAsia"/>
        </w:rPr>
        <w:t xml:space="preserve">he reception of </w:t>
      </w:r>
      <w:r w:rsidR="00501123">
        <w:rPr>
          <w:rFonts w:hint="eastAsia"/>
        </w:rPr>
        <w:t>parent</w:t>
      </w:r>
      <w:r>
        <w:rPr>
          <w:rFonts w:hint="eastAsia"/>
        </w:rPr>
        <w:t xml:space="preserve"> IAB </w:t>
      </w:r>
      <w:r w:rsidR="00383435">
        <w:rPr>
          <w:rFonts w:hint="eastAsia"/>
        </w:rPr>
        <w:t>or</w:t>
      </w:r>
      <w:r>
        <w:rPr>
          <w:rFonts w:hint="eastAsia"/>
        </w:rPr>
        <w:t xml:space="preserve"> donor </w:t>
      </w:r>
      <w:proofErr w:type="spellStart"/>
      <w:r>
        <w:rPr>
          <w:rFonts w:hint="eastAsia"/>
        </w:rPr>
        <w:t>gNB</w:t>
      </w:r>
      <w:proofErr w:type="spellEnd"/>
      <w:r w:rsidR="00383435">
        <w:rPr>
          <w:rFonts w:hint="eastAsia"/>
        </w:rPr>
        <w:t xml:space="preserve"> </w:t>
      </w:r>
      <w:r>
        <w:rPr>
          <w:rFonts w:hint="eastAsia"/>
        </w:rPr>
        <w:t xml:space="preserve">will </w:t>
      </w:r>
      <w:r w:rsidR="00383435">
        <w:rPr>
          <w:rFonts w:hint="eastAsia"/>
        </w:rPr>
        <w:t xml:space="preserve">be </w:t>
      </w:r>
      <w:r w:rsidR="00383435">
        <w:t>suffered</w:t>
      </w:r>
      <w:r>
        <w:rPr>
          <w:rFonts w:hint="eastAsia"/>
        </w:rPr>
        <w:t xml:space="preserve"> by transmission delay. </w:t>
      </w:r>
      <w:r w:rsidR="00501123">
        <w:rPr>
          <w:rFonts w:hint="eastAsia"/>
        </w:rPr>
        <w:t>This</w:t>
      </w:r>
      <w:r>
        <w:rPr>
          <w:rFonts w:hint="eastAsia"/>
        </w:rPr>
        <w:t xml:space="preserve"> may result</w:t>
      </w:r>
      <w:r w:rsidR="00501123">
        <w:rPr>
          <w:rFonts w:hint="eastAsia"/>
        </w:rPr>
        <w:t xml:space="preserve"> in</w:t>
      </w:r>
      <w:r>
        <w:rPr>
          <w:rFonts w:hint="eastAsia"/>
        </w:rPr>
        <w:t xml:space="preserve"> the end slot or symbol to be dropped /punctured If the next time slot the IAB panel</w:t>
      </w:r>
      <w:r w:rsidR="00383435">
        <w:rPr>
          <w:rFonts w:hint="eastAsia"/>
        </w:rPr>
        <w:t xml:space="preserve"> or donor </w:t>
      </w:r>
      <w:proofErr w:type="spellStart"/>
      <w:r w:rsidR="00383435">
        <w:rPr>
          <w:rFonts w:hint="eastAsia"/>
        </w:rPr>
        <w:t>gNB</w:t>
      </w:r>
      <w:proofErr w:type="spellEnd"/>
      <w:r>
        <w:rPr>
          <w:rFonts w:hint="eastAsia"/>
        </w:rPr>
        <w:t xml:space="preserve"> changes to transmission to UE </w:t>
      </w:r>
      <w:r w:rsidR="00383435">
        <w:rPr>
          <w:rFonts w:hint="eastAsia"/>
        </w:rPr>
        <w:t xml:space="preserve">in </w:t>
      </w:r>
      <w:r>
        <w:rPr>
          <w:rFonts w:hint="eastAsia"/>
        </w:rPr>
        <w:t xml:space="preserve">DL time slot as </w:t>
      </w:r>
      <w:r w:rsidR="00383435">
        <w:rPr>
          <w:rFonts w:hint="eastAsia"/>
        </w:rPr>
        <w:t xml:space="preserve">IAB </w:t>
      </w:r>
      <w:r>
        <w:rPr>
          <w:rFonts w:hint="eastAsia"/>
        </w:rPr>
        <w:t xml:space="preserve">DU. Furthermore even if the </w:t>
      </w:r>
      <w:r>
        <w:t>panel</w:t>
      </w:r>
      <w:r>
        <w:rPr>
          <w:rFonts w:hint="eastAsia"/>
        </w:rPr>
        <w:t xml:space="preserve"> function continues as MT but TX change</w:t>
      </w:r>
      <w:r w:rsidR="00EC193C">
        <w:rPr>
          <w:rFonts w:hint="eastAsia"/>
        </w:rPr>
        <w:t>s</w:t>
      </w:r>
      <w:r>
        <w:rPr>
          <w:rFonts w:hint="eastAsia"/>
        </w:rPr>
        <w:t xml:space="preserve"> to RX, to ensure the sync operation of donor </w:t>
      </w:r>
      <w:proofErr w:type="spellStart"/>
      <w:r>
        <w:rPr>
          <w:rFonts w:hint="eastAsia"/>
        </w:rPr>
        <w:t>gNB</w:t>
      </w:r>
      <w:proofErr w:type="spellEnd"/>
      <w:r>
        <w:rPr>
          <w:rFonts w:hint="eastAsia"/>
        </w:rPr>
        <w:t xml:space="preserve"> the end of transmission</w:t>
      </w:r>
      <w:r w:rsidR="00383435">
        <w:rPr>
          <w:rFonts w:hint="eastAsia"/>
        </w:rPr>
        <w:t xml:space="preserve"> in previous slot of MT</w:t>
      </w:r>
      <w:r>
        <w:rPr>
          <w:rFonts w:hint="eastAsia"/>
        </w:rPr>
        <w:t xml:space="preserve"> shall be punctured</w:t>
      </w:r>
      <w:r w:rsidR="00501123">
        <w:rPr>
          <w:rFonts w:hint="eastAsia"/>
        </w:rPr>
        <w:t xml:space="preserve"> as well. </w:t>
      </w:r>
    </w:p>
    <w:p w:rsidR="00383435" w:rsidRDefault="00383435" w:rsidP="00501123">
      <w:pPr>
        <w:widowControl/>
      </w:pPr>
      <w:r>
        <w:rPr>
          <w:rFonts w:hint="eastAsia"/>
        </w:rPr>
        <w:t xml:space="preserve">Since one intention to allow IAB MT transmission in DL time slot </w:t>
      </w:r>
      <w:r w:rsidR="00EC193C">
        <w:rPr>
          <w:rFonts w:hint="eastAsia"/>
        </w:rPr>
        <w:t xml:space="preserve">is </w:t>
      </w:r>
      <w:r>
        <w:rPr>
          <w:rFonts w:hint="eastAsia"/>
        </w:rPr>
        <w:t xml:space="preserve">to </w:t>
      </w:r>
      <w:r w:rsidRPr="00383435">
        <w:t>evade</w:t>
      </w:r>
      <w:r>
        <w:rPr>
          <w:rFonts w:hint="eastAsia"/>
        </w:rPr>
        <w:t xml:space="preserve"> regional regulation of </w:t>
      </w:r>
      <w:proofErr w:type="spellStart"/>
      <w:r>
        <w:rPr>
          <w:rFonts w:hint="eastAsia"/>
        </w:rPr>
        <w:t>unsync</w:t>
      </w:r>
      <w:proofErr w:type="spellEnd"/>
      <w:r>
        <w:rPr>
          <w:rFonts w:hint="eastAsia"/>
        </w:rPr>
        <w:t xml:space="preserve"> operation, the </w:t>
      </w:r>
      <w:r>
        <w:t>possibility</w:t>
      </w:r>
      <w:r>
        <w:rPr>
          <w:rFonts w:hint="eastAsia"/>
        </w:rPr>
        <w:t xml:space="preserve"> of IAB TX advance in DL time slot in upstream </w:t>
      </w:r>
      <w:r w:rsidR="00EC193C">
        <w:rPr>
          <w:rFonts w:hint="eastAsia"/>
        </w:rPr>
        <w:t xml:space="preserve">direction </w:t>
      </w:r>
      <w:r>
        <w:rPr>
          <w:rFonts w:hint="eastAsia"/>
        </w:rPr>
        <w:t xml:space="preserve">is not considered here.  </w:t>
      </w:r>
    </w:p>
    <w:p w:rsidR="00125BD0" w:rsidRDefault="00125BD0" w:rsidP="00125BD0">
      <w:pPr>
        <w:widowControl/>
        <w:jc w:val="left"/>
      </w:pPr>
      <w:r>
        <w:object w:dxaOrig="2282" w:dyaOrig="3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pt;height:155.85pt" o:ole="">
            <v:imagedata r:id="rId9" o:title=""/>
          </v:shape>
          <o:OLEObject Type="Embed" ProgID="Visio.Drawing.11" ShapeID="_x0000_i1025" DrawAspect="Content" ObjectID="_1627483523" r:id="rId10"/>
        </w:object>
      </w:r>
      <w:r>
        <w:rPr>
          <w:rFonts w:hint="eastAsia"/>
        </w:rPr>
        <w:t xml:space="preserve">   </w:t>
      </w:r>
      <w:bookmarkStart w:id="0" w:name="_GoBack"/>
      <w:r>
        <w:object w:dxaOrig="2472" w:dyaOrig="3214">
          <v:shape id="_x0000_i1026" type="#_x0000_t75" style="width:123.5pt;height:160.4pt" o:ole="">
            <v:imagedata r:id="rId11" o:title=""/>
          </v:shape>
          <o:OLEObject Type="Embed" ProgID="Visio.Drawing.11" ShapeID="_x0000_i1026" DrawAspect="Content" ObjectID="_1627483524" r:id="rId12"/>
        </w:object>
      </w:r>
      <w:bookmarkEnd w:id="0"/>
      <w:r>
        <w:rPr>
          <w:rFonts w:hint="eastAsia"/>
        </w:rPr>
        <w:t xml:space="preserve"> </w:t>
      </w:r>
    </w:p>
    <w:p w:rsidR="001C0816" w:rsidRPr="00E37463" w:rsidRDefault="005E1663" w:rsidP="00E538F1">
      <w:pPr>
        <w:widowControl/>
      </w:pPr>
      <w:r>
        <w:rPr>
          <w:rFonts w:hint="eastAsia"/>
        </w:rPr>
        <w:t xml:space="preserve">In addition, there </w:t>
      </w:r>
      <w:proofErr w:type="gramStart"/>
      <w:r>
        <w:rPr>
          <w:rFonts w:hint="eastAsia"/>
        </w:rPr>
        <w:t>are</w:t>
      </w:r>
      <w:proofErr w:type="gramEnd"/>
      <w:r>
        <w:rPr>
          <w:rFonts w:hint="eastAsia"/>
        </w:rPr>
        <w:t xml:space="preserve"> two potential switching or sweeping scenarios for IAB one </w:t>
      </w:r>
      <w:r>
        <w:t>panel</w:t>
      </w:r>
      <w:r>
        <w:rPr>
          <w:rFonts w:hint="eastAsia"/>
        </w:rPr>
        <w:t>. One</w:t>
      </w:r>
      <w:r w:rsidR="00EC193C">
        <w:rPr>
          <w:rFonts w:hint="eastAsia"/>
        </w:rPr>
        <w:t xml:space="preserve"> case</w:t>
      </w:r>
      <w:r>
        <w:rPr>
          <w:rFonts w:hint="eastAsia"/>
        </w:rPr>
        <w:t xml:space="preserve"> is this </w:t>
      </w:r>
      <w:r>
        <w:t>panel</w:t>
      </w:r>
      <w:r>
        <w:rPr>
          <w:rFonts w:hint="eastAsia"/>
        </w:rPr>
        <w:t xml:space="preserve"> </w:t>
      </w:r>
      <w:r>
        <w:t>operating</w:t>
      </w:r>
      <w:r>
        <w:rPr>
          <w:rFonts w:hint="eastAsia"/>
        </w:rPr>
        <w:t xml:space="preserve"> as IAB MT </w:t>
      </w:r>
      <w:r w:rsidR="00E538F1">
        <w:rPr>
          <w:rFonts w:hint="eastAsia"/>
        </w:rPr>
        <w:t xml:space="preserve">in DL time slot TX- RX or RX </w:t>
      </w:r>
      <w:r w:rsidR="00E538F1">
        <w:t>–</w:t>
      </w:r>
      <w:r w:rsidR="00E538F1">
        <w:rPr>
          <w:rFonts w:hint="eastAsia"/>
        </w:rPr>
        <w:t xml:space="preserve">TX </w:t>
      </w:r>
      <w:r w:rsidR="00E538F1">
        <w:t>switching</w:t>
      </w:r>
      <w:r w:rsidR="00E538F1">
        <w:rPr>
          <w:rFonts w:hint="eastAsia"/>
        </w:rPr>
        <w:t xml:space="preserve">. However, in current specification for BS there is only switching time defined for ON-OFF and OFF-ON. How to handle this needs further discussion. The other </w:t>
      </w:r>
      <w:r w:rsidR="00EC193C">
        <w:rPr>
          <w:rFonts w:hint="eastAsia"/>
        </w:rPr>
        <w:t xml:space="preserve">case </w:t>
      </w:r>
      <w:r w:rsidR="00E538F1">
        <w:rPr>
          <w:rFonts w:hint="eastAsia"/>
        </w:rPr>
        <w:t xml:space="preserve">is the </w:t>
      </w:r>
      <w:r w:rsidR="00E538F1">
        <w:t>pane</w:t>
      </w:r>
      <w:r w:rsidR="00E538F1">
        <w:rPr>
          <w:rFonts w:hint="eastAsia"/>
        </w:rPr>
        <w:t>l to switch function from MT to DU or DU to MT in TX DL time slot. This can refer to beam sweeping discussed in Rel-15. As captured in TR38.817-02, t</w:t>
      </w:r>
      <w:r w:rsidR="00125BD0" w:rsidRPr="00F24D8E">
        <w:t xml:space="preserve">he worst-case beam switching time </w:t>
      </w:r>
      <w:r w:rsidR="00E538F1">
        <w:rPr>
          <w:rFonts w:hint="eastAsia"/>
        </w:rPr>
        <w:t>is</w:t>
      </w:r>
      <w:r w:rsidR="00125BD0" w:rsidRPr="00F24D8E">
        <w:t xml:space="preserve"> based on the analogue implementation and is estimated as &lt; 100ns.</w:t>
      </w:r>
      <w:r w:rsidR="00E538F1">
        <w:rPr>
          <w:rFonts w:hint="eastAsia"/>
        </w:rPr>
        <w:t xml:space="preserve"> Since this aspect is not specified in legacy NR spec, IAB can follow the same logic here. Besides this, i</w:t>
      </w:r>
      <w:r w:rsidR="00125BD0">
        <w:rPr>
          <w:rFonts w:hint="eastAsia"/>
        </w:rPr>
        <w:t xml:space="preserve">t </w:t>
      </w:r>
      <w:r w:rsidR="00E538F1">
        <w:rPr>
          <w:rFonts w:hint="eastAsia"/>
        </w:rPr>
        <w:t>may need to</w:t>
      </w:r>
      <w:r w:rsidR="00125BD0">
        <w:rPr>
          <w:rFonts w:hint="eastAsia"/>
        </w:rPr>
        <w:t xml:space="preserve"> be clarified that if there is any issue for IAB to handle UL and DL physical channel </w:t>
      </w:r>
      <w:r w:rsidR="00125BD0">
        <w:t>simultaneously</w:t>
      </w:r>
      <w:r w:rsidR="00125BD0">
        <w:rPr>
          <w:rFonts w:hint="eastAsia"/>
        </w:rPr>
        <w:t xml:space="preserve"> in baseband and potentially within one panel. </w:t>
      </w:r>
    </w:p>
    <w:p w:rsidR="00F02DC4" w:rsidRPr="00DF4456" w:rsidRDefault="008200CF" w:rsidP="00DF4456">
      <w:pPr>
        <w:pStyle w:val="Heading1"/>
        <w:rPr>
          <w:rFonts w:cs="Arial"/>
          <w:lang w:eastAsia="zh-CN"/>
        </w:rPr>
      </w:pPr>
      <w:r>
        <w:rPr>
          <w:rFonts w:cs="Arial" w:hint="eastAsia"/>
          <w:lang w:eastAsia="zh-CN"/>
        </w:rPr>
        <w:t>Summary</w:t>
      </w:r>
    </w:p>
    <w:p w:rsidR="0009104B" w:rsidRDefault="00986E02" w:rsidP="0071351D">
      <w:pPr>
        <w:spacing w:afterLines="50" w:after="156"/>
        <w:rPr>
          <w:rFonts w:cstheme="minorHAnsi"/>
          <w:szCs w:val="21"/>
        </w:rPr>
      </w:pPr>
      <w:r>
        <w:rPr>
          <w:rFonts w:cstheme="minorHAnsi" w:hint="eastAsia"/>
          <w:szCs w:val="21"/>
        </w:rPr>
        <w:t xml:space="preserve">This contribution focuses on clarification of IAB scenario 2 regarding aspects such as initial access, cell measurement, physical channel and timing. </w:t>
      </w:r>
    </w:p>
    <w:p w:rsidR="004914E1" w:rsidRPr="00E63F56" w:rsidRDefault="000316D6" w:rsidP="00E63F56">
      <w:pPr>
        <w:pStyle w:val="Heading1"/>
        <w:rPr>
          <w:rFonts w:cs="Arial"/>
          <w:lang w:eastAsia="zh-CN"/>
        </w:rPr>
      </w:pPr>
      <w:r>
        <w:rPr>
          <w:rFonts w:cs="Arial" w:hint="eastAsia"/>
          <w:lang w:eastAsia="zh-CN"/>
        </w:rPr>
        <w:t>Reference</w:t>
      </w:r>
    </w:p>
    <w:p w:rsidR="00A544BA" w:rsidRPr="00E63F56" w:rsidRDefault="00BD32A1" w:rsidP="004914E1">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 xml:space="preserve"> </w:t>
      </w:r>
      <w:r w:rsidR="0000478F">
        <w:rPr>
          <w:rFonts w:asciiTheme="minorHAnsi" w:hAnsiTheme="minorHAnsi" w:cstheme="minorBidi" w:hint="eastAsia"/>
          <w:b w:val="0"/>
          <w:kern w:val="2"/>
          <w:sz w:val="21"/>
          <w:szCs w:val="22"/>
          <w:lang w:val="en-US" w:eastAsia="zh-CN"/>
        </w:rPr>
        <w:t>[</w:t>
      </w:r>
      <w:r>
        <w:rPr>
          <w:rFonts w:asciiTheme="minorHAnsi" w:hAnsiTheme="minorHAnsi" w:cstheme="minorBidi" w:hint="eastAsia"/>
          <w:b w:val="0"/>
          <w:kern w:val="2"/>
          <w:sz w:val="21"/>
          <w:szCs w:val="22"/>
          <w:lang w:val="en-US" w:eastAsia="zh-CN"/>
        </w:rPr>
        <w:t>1</w:t>
      </w:r>
      <w:r w:rsidR="003D3E5E">
        <w:rPr>
          <w:rFonts w:asciiTheme="minorHAnsi" w:hAnsiTheme="minorHAnsi" w:cstheme="minorBidi" w:hint="eastAsia"/>
          <w:b w:val="0"/>
          <w:kern w:val="2"/>
          <w:sz w:val="21"/>
          <w:szCs w:val="22"/>
          <w:lang w:val="en-US" w:eastAsia="zh-CN"/>
        </w:rPr>
        <w:t xml:space="preserve">] </w:t>
      </w:r>
      <w:hyperlink r:id="rId13" w:history="1">
        <w:r w:rsidR="00AA0AE9" w:rsidRPr="00AA0AE9">
          <w:rPr>
            <w:rFonts w:asciiTheme="minorHAnsi" w:hAnsiTheme="minorHAnsi" w:cstheme="minorBidi"/>
            <w:b w:val="0"/>
            <w:kern w:val="2"/>
            <w:sz w:val="21"/>
            <w:szCs w:val="22"/>
            <w:lang w:val="en-US" w:eastAsia="zh-CN"/>
          </w:rPr>
          <w:t>R4-1907825</w:t>
        </w:r>
      </w:hyperlink>
      <w:r w:rsidR="00AA0AE9" w:rsidRPr="00AA0AE9">
        <w:rPr>
          <w:rFonts w:asciiTheme="minorHAnsi" w:hAnsiTheme="minorHAnsi" w:cstheme="minorBidi"/>
          <w:b w:val="0"/>
          <w:kern w:val="2"/>
          <w:sz w:val="21"/>
          <w:szCs w:val="22"/>
          <w:lang w:val="en-US" w:eastAsia="zh-CN"/>
        </w:rPr>
        <w:t xml:space="preserve"> WF on simulation assumption for IAB co-</w:t>
      </w:r>
      <w:r w:rsidR="00E31D0E" w:rsidRPr="00AA0AE9">
        <w:rPr>
          <w:rFonts w:asciiTheme="minorHAnsi" w:hAnsiTheme="minorHAnsi" w:cstheme="minorBidi"/>
          <w:b w:val="0"/>
          <w:kern w:val="2"/>
          <w:sz w:val="21"/>
          <w:szCs w:val="22"/>
          <w:lang w:val="en-US" w:eastAsia="zh-CN"/>
        </w:rPr>
        <w:t>existence</w:t>
      </w:r>
      <w:r w:rsidR="00AA0AE9" w:rsidRPr="00AA0AE9">
        <w:rPr>
          <w:rFonts w:asciiTheme="minorHAnsi" w:hAnsiTheme="minorHAnsi" w:cstheme="minorBidi"/>
          <w:b w:val="0"/>
          <w:kern w:val="2"/>
          <w:sz w:val="21"/>
          <w:szCs w:val="22"/>
          <w:lang w:val="en-US" w:eastAsia="zh-CN"/>
        </w:rPr>
        <w:t xml:space="preserve"> study</w:t>
      </w:r>
    </w:p>
    <w:sectPr w:rsidR="00A544BA" w:rsidRPr="00E63F56"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1F9" w:rsidRDefault="009871F9" w:rsidP="00FF76F4">
      <w:r>
        <w:separator/>
      </w:r>
    </w:p>
  </w:endnote>
  <w:endnote w:type="continuationSeparator" w:id="0">
    <w:p w:rsidR="009871F9" w:rsidRDefault="009871F9"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1F9" w:rsidRDefault="009871F9" w:rsidP="00FF76F4">
      <w:r>
        <w:separator/>
      </w:r>
    </w:p>
  </w:footnote>
  <w:footnote w:type="continuationSeparator" w:id="0">
    <w:p w:rsidR="009871F9" w:rsidRDefault="009871F9"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155C57"/>
    <w:multiLevelType w:val="hybridMultilevel"/>
    <w:tmpl w:val="85408640"/>
    <w:lvl w:ilvl="0" w:tplc="E26A783C">
      <w:start w:val="1"/>
      <w:numFmt w:val="bullet"/>
      <w:lvlText w:val="•"/>
      <w:lvlJc w:val="left"/>
      <w:pPr>
        <w:tabs>
          <w:tab w:val="num" w:pos="720"/>
        </w:tabs>
        <w:ind w:left="720" w:hanging="360"/>
      </w:pPr>
      <w:rPr>
        <w:rFonts w:ascii="Arial" w:hAnsi="Arial" w:hint="default"/>
      </w:rPr>
    </w:lvl>
    <w:lvl w:ilvl="1" w:tplc="3C641C1E" w:tentative="1">
      <w:start w:val="1"/>
      <w:numFmt w:val="bullet"/>
      <w:lvlText w:val="•"/>
      <w:lvlJc w:val="left"/>
      <w:pPr>
        <w:tabs>
          <w:tab w:val="num" w:pos="1440"/>
        </w:tabs>
        <w:ind w:left="1440" w:hanging="360"/>
      </w:pPr>
      <w:rPr>
        <w:rFonts w:ascii="Arial" w:hAnsi="Arial" w:hint="default"/>
      </w:rPr>
    </w:lvl>
    <w:lvl w:ilvl="2" w:tplc="2152A3EA" w:tentative="1">
      <w:start w:val="1"/>
      <w:numFmt w:val="bullet"/>
      <w:lvlText w:val="•"/>
      <w:lvlJc w:val="left"/>
      <w:pPr>
        <w:tabs>
          <w:tab w:val="num" w:pos="2160"/>
        </w:tabs>
        <w:ind w:left="2160" w:hanging="360"/>
      </w:pPr>
      <w:rPr>
        <w:rFonts w:ascii="Arial" w:hAnsi="Arial" w:hint="default"/>
      </w:rPr>
    </w:lvl>
    <w:lvl w:ilvl="3" w:tplc="C080A300" w:tentative="1">
      <w:start w:val="1"/>
      <w:numFmt w:val="bullet"/>
      <w:lvlText w:val="•"/>
      <w:lvlJc w:val="left"/>
      <w:pPr>
        <w:tabs>
          <w:tab w:val="num" w:pos="2880"/>
        </w:tabs>
        <w:ind w:left="2880" w:hanging="360"/>
      </w:pPr>
      <w:rPr>
        <w:rFonts w:ascii="Arial" w:hAnsi="Arial" w:hint="default"/>
      </w:rPr>
    </w:lvl>
    <w:lvl w:ilvl="4" w:tplc="CDDAB50E" w:tentative="1">
      <w:start w:val="1"/>
      <w:numFmt w:val="bullet"/>
      <w:lvlText w:val="•"/>
      <w:lvlJc w:val="left"/>
      <w:pPr>
        <w:tabs>
          <w:tab w:val="num" w:pos="3600"/>
        </w:tabs>
        <w:ind w:left="3600" w:hanging="360"/>
      </w:pPr>
      <w:rPr>
        <w:rFonts w:ascii="Arial" w:hAnsi="Arial" w:hint="default"/>
      </w:rPr>
    </w:lvl>
    <w:lvl w:ilvl="5" w:tplc="8A8E0710" w:tentative="1">
      <w:start w:val="1"/>
      <w:numFmt w:val="bullet"/>
      <w:lvlText w:val="•"/>
      <w:lvlJc w:val="left"/>
      <w:pPr>
        <w:tabs>
          <w:tab w:val="num" w:pos="4320"/>
        </w:tabs>
        <w:ind w:left="4320" w:hanging="360"/>
      </w:pPr>
      <w:rPr>
        <w:rFonts w:ascii="Arial" w:hAnsi="Arial" w:hint="default"/>
      </w:rPr>
    </w:lvl>
    <w:lvl w:ilvl="6" w:tplc="4F04A646" w:tentative="1">
      <w:start w:val="1"/>
      <w:numFmt w:val="bullet"/>
      <w:lvlText w:val="•"/>
      <w:lvlJc w:val="left"/>
      <w:pPr>
        <w:tabs>
          <w:tab w:val="num" w:pos="5040"/>
        </w:tabs>
        <w:ind w:left="5040" w:hanging="360"/>
      </w:pPr>
      <w:rPr>
        <w:rFonts w:ascii="Arial" w:hAnsi="Arial" w:hint="default"/>
      </w:rPr>
    </w:lvl>
    <w:lvl w:ilvl="7" w:tplc="768C3D5E" w:tentative="1">
      <w:start w:val="1"/>
      <w:numFmt w:val="bullet"/>
      <w:lvlText w:val="•"/>
      <w:lvlJc w:val="left"/>
      <w:pPr>
        <w:tabs>
          <w:tab w:val="num" w:pos="5760"/>
        </w:tabs>
        <w:ind w:left="5760" w:hanging="360"/>
      </w:pPr>
      <w:rPr>
        <w:rFonts w:ascii="Arial" w:hAnsi="Arial" w:hint="default"/>
      </w:rPr>
    </w:lvl>
    <w:lvl w:ilvl="8" w:tplc="A420D0E2" w:tentative="1">
      <w:start w:val="1"/>
      <w:numFmt w:val="bullet"/>
      <w:lvlText w:val="•"/>
      <w:lvlJc w:val="left"/>
      <w:pPr>
        <w:tabs>
          <w:tab w:val="num" w:pos="6480"/>
        </w:tabs>
        <w:ind w:left="6480" w:hanging="360"/>
      </w:pPr>
      <w:rPr>
        <w:rFonts w:ascii="Arial" w:hAnsi="Arial" w:hint="default"/>
      </w:rPr>
    </w:lvl>
  </w:abstractNum>
  <w:abstractNum w:abstractNumId="4">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1DCE2C4C"/>
    <w:multiLevelType w:val="hybridMultilevel"/>
    <w:tmpl w:val="1C38FD0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01147F"/>
    <w:multiLevelType w:val="hybridMultilevel"/>
    <w:tmpl w:val="01BE114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4">
    <w:nsid w:val="3F335372"/>
    <w:multiLevelType w:val="hybridMultilevel"/>
    <w:tmpl w:val="20D02612"/>
    <w:lvl w:ilvl="0" w:tplc="D7DCBEC0">
      <w:numFmt w:val="bullet"/>
      <w:lvlText w:val="-"/>
      <w:lvlJc w:val="left"/>
      <w:pPr>
        <w:ind w:left="529" w:hanging="420"/>
      </w:pPr>
      <w:rPr>
        <w:rFonts w:ascii="Times New Roman" w:eastAsia="Times New Roman" w:hAnsi="Times New Roman" w:cs="Times New Roman"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5">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17">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0">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77234770"/>
    <w:multiLevelType w:val="hybridMultilevel"/>
    <w:tmpl w:val="C37C251C"/>
    <w:lvl w:ilvl="0" w:tplc="1A2C602E">
      <w:start w:val="1"/>
      <w:numFmt w:val="bullet"/>
      <w:lvlText w:val="•"/>
      <w:lvlJc w:val="left"/>
      <w:pPr>
        <w:tabs>
          <w:tab w:val="num" w:pos="720"/>
        </w:tabs>
        <w:ind w:left="720" w:hanging="360"/>
      </w:pPr>
      <w:rPr>
        <w:rFonts w:ascii="Arial" w:hAnsi="Arial" w:hint="default"/>
      </w:rPr>
    </w:lvl>
    <w:lvl w:ilvl="1" w:tplc="5E5EB430">
      <w:numFmt w:val="bullet"/>
      <w:lvlText w:val="–"/>
      <w:lvlJc w:val="left"/>
      <w:pPr>
        <w:tabs>
          <w:tab w:val="num" w:pos="1440"/>
        </w:tabs>
        <w:ind w:left="1440" w:hanging="360"/>
      </w:pPr>
      <w:rPr>
        <w:rFonts w:ascii="Arial" w:hAnsi="Arial" w:hint="default"/>
      </w:rPr>
    </w:lvl>
    <w:lvl w:ilvl="2" w:tplc="06B48458">
      <w:numFmt w:val="bullet"/>
      <w:lvlText w:val="•"/>
      <w:lvlJc w:val="left"/>
      <w:pPr>
        <w:tabs>
          <w:tab w:val="num" w:pos="2160"/>
        </w:tabs>
        <w:ind w:left="2160" w:hanging="360"/>
      </w:pPr>
      <w:rPr>
        <w:rFonts w:ascii="Arial" w:hAnsi="Arial" w:hint="default"/>
      </w:rPr>
    </w:lvl>
    <w:lvl w:ilvl="3" w:tplc="8272BB96" w:tentative="1">
      <w:start w:val="1"/>
      <w:numFmt w:val="bullet"/>
      <w:lvlText w:val="•"/>
      <w:lvlJc w:val="left"/>
      <w:pPr>
        <w:tabs>
          <w:tab w:val="num" w:pos="2880"/>
        </w:tabs>
        <w:ind w:left="2880" w:hanging="360"/>
      </w:pPr>
      <w:rPr>
        <w:rFonts w:ascii="Arial" w:hAnsi="Arial" w:hint="default"/>
      </w:rPr>
    </w:lvl>
    <w:lvl w:ilvl="4" w:tplc="E8ACB624" w:tentative="1">
      <w:start w:val="1"/>
      <w:numFmt w:val="bullet"/>
      <w:lvlText w:val="•"/>
      <w:lvlJc w:val="left"/>
      <w:pPr>
        <w:tabs>
          <w:tab w:val="num" w:pos="3600"/>
        </w:tabs>
        <w:ind w:left="3600" w:hanging="360"/>
      </w:pPr>
      <w:rPr>
        <w:rFonts w:ascii="Arial" w:hAnsi="Arial" w:hint="default"/>
      </w:rPr>
    </w:lvl>
    <w:lvl w:ilvl="5" w:tplc="209A28E8" w:tentative="1">
      <w:start w:val="1"/>
      <w:numFmt w:val="bullet"/>
      <w:lvlText w:val="•"/>
      <w:lvlJc w:val="left"/>
      <w:pPr>
        <w:tabs>
          <w:tab w:val="num" w:pos="4320"/>
        </w:tabs>
        <w:ind w:left="4320" w:hanging="360"/>
      </w:pPr>
      <w:rPr>
        <w:rFonts w:ascii="Arial" w:hAnsi="Arial" w:hint="default"/>
      </w:rPr>
    </w:lvl>
    <w:lvl w:ilvl="6" w:tplc="A6A6B600" w:tentative="1">
      <w:start w:val="1"/>
      <w:numFmt w:val="bullet"/>
      <w:lvlText w:val="•"/>
      <w:lvlJc w:val="left"/>
      <w:pPr>
        <w:tabs>
          <w:tab w:val="num" w:pos="5040"/>
        </w:tabs>
        <w:ind w:left="5040" w:hanging="360"/>
      </w:pPr>
      <w:rPr>
        <w:rFonts w:ascii="Arial" w:hAnsi="Arial" w:hint="default"/>
      </w:rPr>
    </w:lvl>
    <w:lvl w:ilvl="7" w:tplc="C3E0F8DE" w:tentative="1">
      <w:start w:val="1"/>
      <w:numFmt w:val="bullet"/>
      <w:lvlText w:val="•"/>
      <w:lvlJc w:val="left"/>
      <w:pPr>
        <w:tabs>
          <w:tab w:val="num" w:pos="5760"/>
        </w:tabs>
        <w:ind w:left="5760" w:hanging="360"/>
      </w:pPr>
      <w:rPr>
        <w:rFonts w:ascii="Arial" w:hAnsi="Arial" w:hint="default"/>
      </w:rPr>
    </w:lvl>
    <w:lvl w:ilvl="8" w:tplc="F3BE7F74" w:tentative="1">
      <w:start w:val="1"/>
      <w:numFmt w:val="bullet"/>
      <w:lvlText w:val="•"/>
      <w:lvlJc w:val="left"/>
      <w:pPr>
        <w:tabs>
          <w:tab w:val="num" w:pos="6480"/>
        </w:tabs>
        <w:ind w:left="6480" w:hanging="360"/>
      </w:pPr>
      <w:rPr>
        <w:rFonts w:ascii="Arial" w:hAnsi="Arial" w:hint="default"/>
      </w:rPr>
    </w:lvl>
  </w:abstractNum>
  <w:abstractNum w:abstractNumId="22">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0"/>
  </w:num>
  <w:num w:numId="2">
    <w:abstractNumId w:val="13"/>
  </w:num>
  <w:num w:numId="3">
    <w:abstractNumId w:val="5"/>
  </w:num>
  <w:num w:numId="4">
    <w:abstractNumId w:val="9"/>
  </w:num>
  <w:num w:numId="5">
    <w:abstractNumId w:val="17"/>
  </w:num>
  <w:num w:numId="6">
    <w:abstractNumId w:val="7"/>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9"/>
  </w:num>
  <w:num w:numId="9">
    <w:abstractNumId w:val="1"/>
  </w:num>
  <w:num w:numId="10">
    <w:abstractNumId w:val="22"/>
  </w:num>
  <w:num w:numId="11">
    <w:abstractNumId w:val="10"/>
  </w:num>
  <w:num w:numId="12">
    <w:abstractNumId w:val="11"/>
  </w:num>
  <w:num w:numId="13">
    <w:abstractNumId w:val="4"/>
  </w:num>
  <w:num w:numId="14">
    <w:abstractNumId w:val="6"/>
  </w:num>
  <w:num w:numId="15">
    <w:abstractNumId w:val="2"/>
  </w:num>
  <w:num w:numId="16">
    <w:abstractNumId w:val="16"/>
  </w:num>
  <w:num w:numId="17">
    <w:abstractNumId w:val="18"/>
  </w:num>
  <w:num w:numId="18">
    <w:abstractNumId w:val="15"/>
  </w:num>
  <w:num w:numId="19">
    <w:abstractNumId w:val="8"/>
  </w:num>
  <w:num w:numId="20">
    <w:abstractNumId w:val="12"/>
  </w:num>
  <w:num w:numId="21">
    <w:abstractNumId w:val="3"/>
  </w:num>
  <w:num w:numId="22">
    <w:abstractNumId w:val="14"/>
  </w:num>
  <w:num w:numId="23">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0478F"/>
    <w:rsid w:val="00005F97"/>
    <w:rsid w:val="00014035"/>
    <w:rsid w:val="00015077"/>
    <w:rsid w:val="00017DE0"/>
    <w:rsid w:val="000213A5"/>
    <w:rsid w:val="000224CD"/>
    <w:rsid w:val="00022887"/>
    <w:rsid w:val="000303EB"/>
    <w:rsid w:val="000316D6"/>
    <w:rsid w:val="000316D9"/>
    <w:rsid w:val="00031A3E"/>
    <w:rsid w:val="00036077"/>
    <w:rsid w:val="00044194"/>
    <w:rsid w:val="00044287"/>
    <w:rsid w:val="00044671"/>
    <w:rsid w:val="000447E0"/>
    <w:rsid w:val="00045F80"/>
    <w:rsid w:val="000542D7"/>
    <w:rsid w:val="0005598F"/>
    <w:rsid w:val="000608D0"/>
    <w:rsid w:val="000637ED"/>
    <w:rsid w:val="0006396D"/>
    <w:rsid w:val="000708E3"/>
    <w:rsid w:val="00070B32"/>
    <w:rsid w:val="000718E9"/>
    <w:rsid w:val="000729C9"/>
    <w:rsid w:val="00073211"/>
    <w:rsid w:val="00081033"/>
    <w:rsid w:val="0008319D"/>
    <w:rsid w:val="00086E14"/>
    <w:rsid w:val="0009033A"/>
    <w:rsid w:val="0009104B"/>
    <w:rsid w:val="000A13E0"/>
    <w:rsid w:val="000A6CC1"/>
    <w:rsid w:val="000A6D1A"/>
    <w:rsid w:val="000B1FF8"/>
    <w:rsid w:val="000B2BC0"/>
    <w:rsid w:val="000C243C"/>
    <w:rsid w:val="000C3815"/>
    <w:rsid w:val="000C5302"/>
    <w:rsid w:val="000C54C6"/>
    <w:rsid w:val="000D3C64"/>
    <w:rsid w:val="000E254F"/>
    <w:rsid w:val="000E269A"/>
    <w:rsid w:val="000E34BE"/>
    <w:rsid w:val="000E3ED7"/>
    <w:rsid w:val="000E5E68"/>
    <w:rsid w:val="000E6A3A"/>
    <w:rsid w:val="000F0286"/>
    <w:rsid w:val="000F0FA3"/>
    <w:rsid w:val="000F4EB5"/>
    <w:rsid w:val="000F5165"/>
    <w:rsid w:val="000F53E9"/>
    <w:rsid w:val="000F6B51"/>
    <w:rsid w:val="00100301"/>
    <w:rsid w:val="00102A9E"/>
    <w:rsid w:val="001074A1"/>
    <w:rsid w:val="00111284"/>
    <w:rsid w:val="001118BE"/>
    <w:rsid w:val="00115241"/>
    <w:rsid w:val="001163EB"/>
    <w:rsid w:val="00121276"/>
    <w:rsid w:val="00125BD0"/>
    <w:rsid w:val="00131637"/>
    <w:rsid w:val="00131991"/>
    <w:rsid w:val="0013335E"/>
    <w:rsid w:val="00135DC0"/>
    <w:rsid w:val="00135E7C"/>
    <w:rsid w:val="0013726E"/>
    <w:rsid w:val="00143D1D"/>
    <w:rsid w:val="0014667B"/>
    <w:rsid w:val="00162691"/>
    <w:rsid w:val="0017034F"/>
    <w:rsid w:val="00170B06"/>
    <w:rsid w:val="00173E9D"/>
    <w:rsid w:val="001754C2"/>
    <w:rsid w:val="0017557C"/>
    <w:rsid w:val="00175ACA"/>
    <w:rsid w:val="00182E67"/>
    <w:rsid w:val="00184E7E"/>
    <w:rsid w:val="001871AA"/>
    <w:rsid w:val="001876C0"/>
    <w:rsid w:val="00190331"/>
    <w:rsid w:val="00197EF8"/>
    <w:rsid w:val="001A24EE"/>
    <w:rsid w:val="001A5265"/>
    <w:rsid w:val="001B3133"/>
    <w:rsid w:val="001B55E0"/>
    <w:rsid w:val="001B6ED9"/>
    <w:rsid w:val="001C0816"/>
    <w:rsid w:val="001C4FD0"/>
    <w:rsid w:val="001C66F3"/>
    <w:rsid w:val="001D02BC"/>
    <w:rsid w:val="001D0887"/>
    <w:rsid w:val="001D5002"/>
    <w:rsid w:val="001D5E02"/>
    <w:rsid w:val="001D7324"/>
    <w:rsid w:val="001E3203"/>
    <w:rsid w:val="001E749D"/>
    <w:rsid w:val="001F192F"/>
    <w:rsid w:val="001F2C35"/>
    <w:rsid w:val="002007FA"/>
    <w:rsid w:val="00207D97"/>
    <w:rsid w:val="00210B3E"/>
    <w:rsid w:val="00212625"/>
    <w:rsid w:val="00213744"/>
    <w:rsid w:val="00215310"/>
    <w:rsid w:val="00220EC2"/>
    <w:rsid w:val="00223B39"/>
    <w:rsid w:val="002277E9"/>
    <w:rsid w:val="002301BF"/>
    <w:rsid w:val="00230B99"/>
    <w:rsid w:val="0024181C"/>
    <w:rsid w:val="002418EC"/>
    <w:rsid w:val="00243720"/>
    <w:rsid w:val="00246EBC"/>
    <w:rsid w:val="00247675"/>
    <w:rsid w:val="00252606"/>
    <w:rsid w:val="00257B53"/>
    <w:rsid w:val="00257FB9"/>
    <w:rsid w:val="00260E9E"/>
    <w:rsid w:val="002611BB"/>
    <w:rsid w:val="00261C0C"/>
    <w:rsid w:val="00262C6C"/>
    <w:rsid w:val="00264CF1"/>
    <w:rsid w:val="0026676E"/>
    <w:rsid w:val="002671F3"/>
    <w:rsid w:val="00267AAF"/>
    <w:rsid w:val="00271B14"/>
    <w:rsid w:val="0027316B"/>
    <w:rsid w:val="002741FD"/>
    <w:rsid w:val="00281E20"/>
    <w:rsid w:val="00282040"/>
    <w:rsid w:val="00286C6A"/>
    <w:rsid w:val="00294C44"/>
    <w:rsid w:val="00295175"/>
    <w:rsid w:val="002971D6"/>
    <w:rsid w:val="00297965"/>
    <w:rsid w:val="002A5A60"/>
    <w:rsid w:val="002A727E"/>
    <w:rsid w:val="002B0953"/>
    <w:rsid w:val="002B1265"/>
    <w:rsid w:val="002B4C48"/>
    <w:rsid w:val="002C22C2"/>
    <w:rsid w:val="002C2435"/>
    <w:rsid w:val="002D33BF"/>
    <w:rsid w:val="002D5B85"/>
    <w:rsid w:val="002D6806"/>
    <w:rsid w:val="002E0E33"/>
    <w:rsid w:val="002E4E27"/>
    <w:rsid w:val="002F0731"/>
    <w:rsid w:val="002F1435"/>
    <w:rsid w:val="002F4833"/>
    <w:rsid w:val="002F4880"/>
    <w:rsid w:val="003029C2"/>
    <w:rsid w:val="00303031"/>
    <w:rsid w:val="00307F2F"/>
    <w:rsid w:val="00312862"/>
    <w:rsid w:val="00313FF8"/>
    <w:rsid w:val="0031560F"/>
    <w:rsid w:val="003218D7"/>
    <w:rsid w:val="003252C5"/>
    <w:rsid w:val="00330269"/>
    <w:rsid w:val="00330D88"/>
    <w:rsid w:val="00330F3A"/>
    <w:rsid w:val="00333E6B"/>
    <w:rsid w:val="00334231"/>
    <w:rsid w:val="00336F41"/>
    <w:rsid w:val="00341535"/>
    <w:rsid w:val="003471B3"/>
    <w:rsid w:val="00347595"/>
    <w:rsid w:val="00347990"/>
    <w:rsid w:val="00352B38"/>
    <w:rsid w:val="003603A3"/>
    <w:rsid w:val="00360C89"/>
    <w:rsid w:val="0036113D"/>
    <w:rsid w:val="00362264"/>
    <w:rsid w:val="003623DE"/>
    <w:rsid w:val="00362F87"/>
    <w:rsid w:val="00365680"/>
    <w:rsid w:val="00370AEB"/>
    <w:rsid w:val="0037169F"/>
    <w:rsid w:val="00373C16"/>
    <w:rsid w:val="00383435"/>
    <w:rsid w:val="003933B7"/>
    <w:rsid w:val="00394462"/>
    <w:rsid w:val="00396A44"/>
    <w:rsid w:val="003A0F8B"/>
    <w:rsid w:val="003A3D0E"/>
    <w:rsid w:val="003A4B6D"/>
    <w:rsid w:val="003A4EAB"/>
    <w:rsid w:val="003B3155"/>
    <w:rsid w:val="003B7398"/>
    <w:rsid w:val="003B7523"/>
    <w:rsid w:val="003C1610"/>
    <w:rsid w:val="003C4BC7"/>
    <w:rsid w:val="003C5997"/>
    <w:rsid w:val="003C5F2E"/>
    <w:rsid w:val="003C7B0C"/>
    <w:rsid w:val="003D081D"/>
    <w:rsid w:val="003D3843"/>
    <w:rsid w:val="003D3E5E"/>
    <w:rsid w:val="003D4810"/>
    <w:rsid w:val="003D5CA7"/>
    <w:rsid w:val="003E1BCB"/>
    <w:rsid w:val="003E3887"/>
    <w:rsid w:val="003E53C0"/>
    <w:rsid w:val="003F2522"/>
    <w:rsid w:val="003F3D0A"/>
    <w:rsid w:val="003F6833"/>
    <w:rsid w:val="00402FB6"/>
    <w:rsid w:val="004049D7"/>
    <w:rsid w:val="004154B5"/>
    <w:rsid w:val="0042000F"/>
    <w:rsid w:val="00420BBA"/>
    <w:rsid w:val="0042257B"/>
    <w:rsid w:val="004262D6"/>
    <w:rsid w:val="00427457"/>
    <w:rsid w:val="0042771E"/>
    <w:rsid w:val="00434276"/>
    <w:rsid w:val="0044026E"/>
    <w:rsid w:val="0044129E"/>
    <w:rsid w:val="00445269"/>
    <w:rsid w:val="00447E1F"/>
    <w:rsid w:val="0045116C"/>
    <w:rsid w:val="00452999"/>
    <w:rsid w:val="00453F41"/>
    <w:rsid w:val="00456040"/>
    <w:rsid w:val="00457F78"/>
    <w:rsid w:val="00461C52"/>
    <w:rsid w:val="00463740"/>
    <w:rsid w:val="00464581"/>
    <w:rsid w:val="00471EE8"/>
    <w:rsid w:val="004724FA"/>
    <w:rsid w:val="00475927"/>
    <w:rsid w:val="00481E71"/>
    <w:rsid w:val="00486410"/>
    <w:rsid w:val="004870CC"/>
    <w:rsid w:val="00490806"/>
    <w:rsid w:val="004914E1"/>
    <w:rsid w:val="00495BB4"/>
    <w:rsid w:val="00497B60"/>
    <w:rsid w:val="004A5FF6"/>
    <w:rsid w:val="004A6CB8"/>
    <w:rsid w:val="004B7958"/>
    <w:rsid w:val="004C0B85"/>
    <w:rsid w:val="004C3783"/>
    <w:rsid w:val="004C5873"/>
    <w:rsid w:val="004D08D4"/>
    <w:rsid w:val="004D12F2"/>
    <w:rsid w:val="004D2036"/>
    <w:rsid w:val="004D4B96"/>
    <w:rsid w:val="004D78B3"/>
    <w:rsid w:val="004E00B8"/>
    <w:rsid w:val="004E02D1"/>
    <w:rsid w:val="004E0EBD"/>
    <w:rsid w:val="004E16C1"/>
    <w:rsid w:val="004E50F2"/>
    <w:rsid w:val="004E64C5"/>
    <w:rsid w:val="004F0168"/>
    <w:rsid w:val="004F33BC"/>
    <w:rsid w:val="004F385E"/>
    <w:rsid w:val="004F5AB4"/>
    <w:rsid w:val="004F6232"/>
    <w:rsid w:val="004F7601"/>
    <w:rsid w:val="004F77CA"/>
    <w:rsid w:val="00500D19"/>
    <w:rsid w:val="00501123"/>
    <w:rsid w:val="00503850"/>
    <w:rsid w:val="00505ACA"/>
    <w:rsid w:val="00506DB2"/>
    <w:rsid w:val="0051178B"/>
    <w:rsid w:val="00511D7F"/>
    <w:rsid w:val="005142E8"/>
    <w:rsid w:val="005213B5"/>
    <w:rsid w:val="005246CB"/>
    <w:rsid w:val="00531509"/>
    <w:rsid w:val="005359F4"/>
    <w:rsid w:val="00535B49"/>
    <w:rsid w:val="00536D9A"/>
    <w:rsid w:val="00536FFB"/>
    <w:rsid w:val="00537A2F"/>
    <w:rsid w:val="005518A8"/>
    <w:rsid w:val="00552DB0"/>
    <w:rsid w:val="005542D3"/>
    <w:rsid w:val="005722AC"/>
    <w:rsid w:val="00577E33"/>
    <w:rsid w:val="00581D9D"/>
    <w:rsid w:val="00582F35"/>
    <w:rsid w:val="00586132"/>
    <w:rsid w:val="00587CC4"/>
    <w:rsid w:val="00587FF3"/>
    <w:rsid w:val="00593FEF"/>
    <w:rsid w:val="00594B4A"/>
    <w:rsid w:val="005A09F3"/>
    <w:rsid w:val="005A1066"/>
    <w:rsid w:val="005A3410"/>
    <w:rsid w:val="005A4BE2"/>
    <w:rsid w:val="005A770A"/>
    <w:rsid w:val="005B2965"/>
    <w:rsid w:val="005B49A1"/>
    <w:rsid w:val="005C1E99"/>
    <w:rsid w:val="005C4FC8"/>
    <w:rsid w:val="005C5399"/>
    <w:rsid w:val="005D08C9"/>
    <w:rsid w:val="005D3BC1"/>
    <w:rsid w:val="005D4616"/>
    <w:rsid w:val="005E1663"/>
    <w:rsid w:val="005E2128"/>
    <w:rsid w:val="005E6211"/>
    <w:rsid w:val="005F3D83"/>
    <w:rsid w:val="00602538"/>
    <w:rsid w:val="006060F6"/>
    <w:rsid w:val="0061075C"/>
    <w:rsid w:val="006126A1"/>
    <w:rsid w:val="0061298D"/>
    <w:rsid w:val="00614E6E"/>
    <w:rsid w:val="0061765F"/>
    <w:rsid w:val="00617A8C"/>
    <w:rsid w:val="00620683"/>
    <w:rsid w:val="006240DC"/>
    <w:rsid w:val="0062510F"/>
    <w:rsid w:val="00625531"/>
    <w:rsid w:val="00633715"/>
    <w:rsid w:val="006340A9"/>
    <w:rsid w:val="00641DC3"/>
    <w:rsid w:val="00642D16"/>
    <w:rsid w:val="00650803"/>
    <w:rsid w:val="006542B8"/>
    <w:rsid w:val="006557EE"/>
    <w:rsid w:val="00655C68"/>
    <w:rsid w:val="00657398"/>
    <w:rsid w:val="00661789"/>
    <w:rsid w:val="00666CF0"/>
    <w:rsid w:val="00672ACC"/>
    <w:rsid w:val="0068271C"/>
    <w:rsid w:val="00683FE1"/>
    <w:rsid w:val="00690C08"/>
    <w:rsid w:val="00691B0B"/>
    <w:rsid w:val="00693E39"/>
    <w:rsid w:val="00694C72"/>
    <w:rsid w:val="00696AA9"/>
    <w:rsid w:val="006A2402"/>
    <w:rsid w:val="006A262E"/>
    <w:rsid w:val="006A3761"/>
    <w:rsid w:val="006A64AE"/>
    <w:rsid w:val="006B0979"/>
    <w:rsid w:val="006B1ECD"/>
    <w:rsid w:val="006B4DDE"/>
    <w:rsid w:val="006C03E8"/>
    <w:rsid w:val="006C0DD2"/>
    <w:rsid w:val="006C4F30"/>
    <w:rsid w:val="006C6724"/>
    <w:rsid w:val="006C6C7A"/>
    <w:rsid w:val="006C7868"/>
    <w:rsid w:val="006F1D96"/>
    <w:rsid w:val="006F2A8B"/>
    <w:rsid w:val="006F7042"/>
    <w:rsid w:val="006F762C"/>
    <w:rsid w:val="00700908"/>
    <w:rsid w:val="00702395"/>
    <w:rsid w:val="00705546"/>
    <w:rsid w:val="007122B5"/>
    <w:rsid w:val="00712D14"/>
    <w:rsid w:val="0071316C"/>
    <w:rsid w:val="0071351D"/>
    <w:rsid w:val="00713839"/>
    <w:rsid w:val="00715EF6"/>
    <w:rsid w:val="0072021A"/>
    <w:rsid w:val="0072746D"/>
    <w:rsid w:val="00731137"/>
    <w:rsid w:val="0073178D"/>
    <w:rsid w:val="00733B09"/>
    <w:rsid w:val="00737D52"/>
    <w:rsid w:val="00737E37"/>
    <w:rsid w:val="0074702E"/>
    <w:rsid w:val="00750A5E"/>
    <w:rsid w:val="00752A96"/>
    <w:rsid w:val="00753D40"/>
    <w:rsid w:val="00756A98"/>
    <w:rsid w:val="00760666"/>
    <w:rsid w:val="00760BDF"/>
    <w:rsid w:val="0076188D"/>
    <w:rsid w:val="007618FB"/>
    <w:rsid w:val="00771236"/>
    <w:rsid w:val="007737DD"/>
    <w:rsid w:val="00776713"/>
    <w:rsid w:val="00776AF8"/>
    <w:rsid w:val="00784737"/>
    <w:rsid w:val="00787DA2"/>
    <w:rsid w:val="007A15A2"/>
    <w:rsid w:val="007A4E3C"/>
    <w:rsid w:val="007B1FF5"/>
    <w:rsid w:val="007B2E04"/>
    <w:rsid w:val="007B5960"/>
    <w:rsid w:val="007B6C46"/>
    <w:rsid w:val="007C4353"/>
    <w:rsid w:val="007C6838"/>
    <w:rsid w:val="007D0AC1"/>
    <w:rsid w:val="007D21B4"/>
    <w:rsid w:val="007D30B5"/>
    <w:rsid w:val="007D3854"/>
    <w:rsid w:val="007E2F2E"/>
    <w:rsid w:val="007E3259"/>
    <w:rsid w:val="007E3D2D"/>
    <w:rsid w:val="007E5A88"/>
    <w:rsid w:val="007E5B96"/>
    <w:rsid w:val="007F04A6"/>
    <w:rsid w:val="007F2337"/>
    <w:rsid w:val="007F313A"/>
    <w:rsid w:val="007F6627"/>
    <w:rsid w:val="00800E96"/>
    <w:rsid w:val="008018A3"/>
    <w:rsid w:val="008116DF"/>
    <w:rsid w:val="00812D10"/>
    <w:rsid w:val="008137E4"/>
    <w:rsid w:val="0081547C"/>
    <w:rsid w:val="008200CF"/>
    <w:rsid w:val="00830746"/>
    <w:rsid w:val="00831AB1"/>
    <w:rsid w:val="00834611"/>
    <w:rsid w:val="00836FD2"/>
    <w:rsid w:val="00840088"/>
    <w:rsid w:val="008412CA"/>
    <w:rsid w:val="00842028"/>
    <w:rsid w:val="008439C7"/>
    <w:rsid w:val="00845EDE"/>
    <w:rsid w:val="008508C0"/>
    <w:rsid w:val="00851583"/>
    <w:rsid w:val="00852054"/>
    <w:rsid w:val="00853F0A"/>
    <w:rsid w:val="00855466"/>
    <w:rsid w:val="00867017"/>
    <w:rsid w:val="00867372"/>
    <w:rsid w:val="00871F57"/>
    <w:rsid w:val="00874064"/>
    <w:rsid w:val="00875009"/>
    <w:rsid w:val="008806B5"/>
    <w:rsid w:val="008859FF"/>
    <w:rsid w:val="00891FEB"/>
    <w:rsid w:val="008A07DB"/>
    <w:rsid w:val="008A0CD1"/>
    <w:rsid w:val="008A2078"/>
    <w:rsid w:val="008B044B"/>
    <w:rsid w:val="008B06DE"/>
    <w:rsid w:val="008B1AD2"/>
    <w:rsid w:val="008B1FEC"/>
    <w:rsid w:val="008B3BA7"/>
    <w:rsid w:val="008B574D"/>
    <w:rsid w:val="008B5C2D"/>
    <w:rsid w:val="008B5CCF"/>
    <w:rsid w:val="008B6418"/>
    <w:rsid w:val="008B7AB0"/>
    <w:rsid w:val="008C2657"/>
    <w:rsid w:val="008C37C3"/>
    <w:rsid w:val="008C3FC6"/>
    <w:rsid w:val="008C63DB"/>
    <w:rsid w:val="008D0B7A"/>
    <w:rsid w:val="008D3D9C"/>
    <w:rsid w:val="008D6D06"/>
    <w:rsid w:val="008D7A68"/>
    <w:rsid w:val="008E4926"/>
    <w:rsid w:val="008F0575"/>
    <w:rsid w:val="008F2591"/>
    <w:rsid w:val="008F4B86"/>
    <w:rsid w:val="008F5965"/>
    <w:rsid w:val="008F72F8"/>
    <w:rsid w:val="008F761B"/>
    <w:rsid w:val="00903FA3"/>
    <w:rsid w:val="00904B5A"/>
    <w:rsid w:val="00904BC6"/>
    <w:rsid w:val="00907E67"/>
    <w:rsid w:val="00910877"/>
    <w:rsid w:val="00912E5E"/>
    <w:rsid w:val="00921F0A"/>
    <w:rsid w:val="00922E06"/>
    <w:rsid w:val="00930DD4"/>
    <w:rsid w:val="00931509"/>
    <w:rsid w:val="00936118"/>
    <w:rsid w:val="00936592"/>
    <w:rsid w:val="00937704"/>
    <w:rsid w:val="00942C77"/>
    <w:rsid w:val="00943A21"/>
    <w:rsid w:val="00946ADB"/>
    <w:rsid w:val="0094719C"/>
    <w:rsid w:val="00947C71"/>
    <w:rsid w:val="00951A8E"/>
    <w:rsid w:val="009525FB"/>
    <w:rsid w:val="009527D5"/>
    <w:rsid w:val="00953116"/>
    <w:rsid w:val="009611CD"/>
    <w:rsid w:val="0096199D"/>
    <w:rsid w:val="00963821"/>
    <w:rsid w:val="00963D5B"/>
    <w:rsid w:val="0096455B"/>
    <w:rsid w:val="00964F6C"/>
    <w:rsid w:val="00972056"/>
    <w:rsid w:val="00972967"/>
    <w:rsid w:val="00973B9C"/>
    <w:rsid w:val="00980ED1"/>
    <w:rsid w:val="00981226"/>
    <w:rsid w:val="0098357D"/>
    <w:rsid w:val="00983B68"/>
    <w:rsid w:val="00986E02"/>
    <w:rsid w:val="009871F9"/>
    <w:rsid w:val="0098779D"/>
    <w:rsid w:val="00992034"/>
    <w:rsid w:val="009922CC"/>
    <w:rsid w:val="00994660"/>
    <w:rsid w:val="009A1FEC"/>
    <w:rsid w:val="009A4F89"/>
    <w:rsid w:val="009A5C5C"/>
    <w:rsid w:val="009B343A"/>
    <w:rsid w:val="009B3B56"/>
    <w:rsid w:val="009B6604"/>
    <w:rsid w:val="009B6C57"/>
    <w:rsid w:val="009B7A45"/>
    <w:rsid w:val="009B7EBE"/>
    <w:rsid w:val="009C06F5"/>
    <w:rsid w:val="009C1095"/>
    <w:rsid w:val="009C61F9"/>
    <w:rsid w:val="009C7B08"/>
    <w:rsid w:val="009D0AF5"/>
    <w:rsid w:val="009D0FD4"/>
    <w:rsid w:val="009D2968"/>
    <w:rsid w:val="009D2DC6"/>
    <w:rsid w:val="009D33E9"/>
    <w:rsid w:val="009D4B66"/>
    <w:rsid w:val="009D553B"/>
    <w:rsid w:val="009E0C4D"/>
    <w:rsid w:val="009E0E6E"/>
    <w:rsid w:val="009E6443"/>
    <w:rsid w:val="009E6DDF"/>
    <w:rsid w:val="009E7C4F"/>
    <w:rsid w:val="009F00BC"/>
    <w:rsid w:val="009F1642"/>
    <w:rsid w:val="009F4BE4"/>
    <w:rsid w:val="00A03A96"/>
    <w:rsid w:val="00A058CB"/>
    <w:rsid w:val="00A075B9"/>
    <w:rsid w:val="00A11879"/>
    <w:rsid w:val="00A134B1"/>
    <w:rsid w:val="00A14EAE"/>
    <w:rsid w:val="00A15B9B"/>
    <w:rsid w:val="00A21FED"/>
    <w:rsid w:val="00A239BD"/>
    <w:rsid w:val="00A2408E"/>
    <w:rsid w:val="00A26A7B"/>
    <w:rsid w:val="00A50C05"/>
    <w:rsid w:val="00A54283"/>
    <w:rsid w:val="00A544BA"/>
    <w:rsid w:val="00A55A91"/>
    <w:rsid w:val="00A6034F"/>
    <w:rsid w:val="00A6184D"/>
    <w:rsid w:val="00A6191E"/>
    <w:rsid w:val="00A660EB"/>
    <w:rsid w:val="00A66FFF"/>
    <w:rsid w:val="00A71D64"/>
    <w:rsid w:val="00A75A40"/>
    <w:rsid w:val="00A82EDB"/>
    <w:rsid w:val="00A87E14"/>
    <w:rsid w:val="00A90B54"/>
    <w:rsid w:val="00A91F30"/>
    <w:rsid w:val="00A942F3"/>
    <w:rsid w:val="00A97A65"/>
    <w:rsid w:val="00AA0348"/>
    <w:rsid w:val="00AA0AE9"/>
    <w:rsid w:val="00AA3791"/>
    <w:rsid w:val="00AA4120"/>
    <w:rsid w:val="00AA461C"/>
    <w:rsid w:val="00AA61A8"/>
    <w:rsid w:val="00AB01DF"/>
    <w:rsid w:val="00AB114E"/>
    <w:rsid w:val="00AB23A3"/>
    <w:rsid w:val="00AB46D2"/>
    <w:rsid w:val="00AB51C4"/>
    <w:rsid w:val="00AB5801"/>
    <w:rsid w:val="00AB6235"/>
    <w:rsid w:val="00AC1B3B"/>
    <w:rsid w:val="00AC5F26"/>
    <w:rsid w:val="00AD1745"/>
    <w:rsid w:val="00AD2262"/>
    <w:rsid w:val="00AD2DED"/>
    <w:rsid w:val="00AD4EDA"/>
    <w:rsid w:val="00AD798E"/>
    <w:rsid w:val="00AE0B9A"/>
    <w:rsid w:val="00AE1158"/>
    <w:rsid w:val="00AE249C"/>
    <w:rsid w:val="00AE2762"/>
    <w:rsid w:val="00AE2E76"/>
    <w:rsid w:val="00AE4B32"/>
    <w:rsid w:val="00AE4EAD"/>
    <w:rsid w:val="00AE5DF0"/>
    <w:rsid w:val="00AE6BA2"/>
    <w:rsid w:val="00AE6D64"/>
    <w:rsid w:val="00AF23B3"/>
    <w:rsid w:val="00AF28D5"/>
    <w:rsid w:val="00AF28FA"/>
    <w:rsid w:val="00AF3FB5"/>
    <w:rsid w:val="00AF476C"/>
    <w:rsid w:val="00AF5141"/>
    <w:rsid w:val="00B07908"/>
    <w:rsid w:val="00B1548E"/>
    <w:rsid w:val="00B24791"/>
    <w:rsid w:val="00B26351"/>
    <w:rsid w:val="00B31802"/>
    <w:rsid w:val="00B3419F"/>
    <w:rsid w:val="00B34A8F"/>
    <w:rsid w:val="00B353E2"/>
    <w:rsid w:val="00B411C4"/>
    <w:rsid w:val="00B45622"/>
    <w:rsid w:val="00B64570"/>
    <w:rsid w:val="00B64E48"/>
    <w:rsid w:val="00B6611C"/>
    <w:rsid w:val="00B6633B"/>
    <w:rsid w:val="00B66E14"/>
    <w:rsid w:val="00B711CE"/>
    <w:rsid w:val="00B71BC8"/>
    <w:rsid w:val="00B73E50"/>
    <w:rsid w:val="00B748E9"/>
    <w:rsid w:val="00B7645F"/>
    <w:rsid w:val="00B768C7"/>
    <w:rsid w:val="00B7737E"/>
    <w:rsid w:val="00B82A68"/>
    <w:rsid w:val="00B85C20"/>
    <w:rsid w:val="00B905F8"/>
    <w:rsid w:val="00B91CDD"/>
    <w:rsid w:val="00B91F60"/>
    <w:rsid w:val="00B92FA8"/>
    <w:rsid w:val="00B933A8"/>
    <w:rsid w:val="00B94130"/>
    <w:rsid w:val="00B95BE9"/>
    <w:rsid w:val="00BA1726"/>
    <w:rsid w:val="00BA46A7"/>
    <w:rsid w:val="00BB325B"/>
    <w:rsid w:val="00BB7649"/>
    <w:rsid w:val="00BB7AC5"/>
    <w:rsid w:val="00BB7FBA"/>
    <w:rsid w:val="00BC0505"/>
    <w:rsid w:val="00BC248D"/>
    <w:rsid w:val="00BC3552"/>
    <w:rsid w:val="00BC6DF8"/>
    <w:rsid w:val="00BC78F2"/>
    <w:rsid w:val="00BD0106"/>
    <w:rsid w:val="00BD32A1"/>
    <w:rsid w:val="00BE15F5"/>
    <w:rsid w:val="00BE2A39"/>
    <w:rsid w:val="00BE4F17"/>
    <w:rsid w:val="00BE5417"/>
    <w:rsid w:val="00BE765F"/>
    <w:rsid w:val="00C0177B"/>
    <w:rsid w:val="00C04D38"/>
    <w:rsid w:val="00C06CEE"/>
    <w:rsid w:val="00C10BEA"/>
    <w:rsid w:val="00C143D4"/>
    <w:rsid w:val="00C14E08"/>
    <w:rsid w:val="00C210DA"/>
    <w:rsid w:val="00C24345"/>
    <w:rsid w:val="00C3115C"/>
    <w:rsid w:val="00C3161B"/>
    <w:rsid w:val="00C32386"/>
    <w:rsid w:val="00C33332"/>
    <w:rsid w:val="00C4135D"/>
    <w:rsid w:val="00C42B4F"/>
    <w:rsid w:val="00C44DA8"/>
    <w:rsid w:val="00C47ADC"/>
    <w:rsid w:val="00C51D45"/>
    <w:rsid w:val="00C524E8"/>
    <w:rsid w:val="00C56B4F"/>
    <w:rsid w:val="00C61E34"/>
    <w:rsid w:val="00C65AD4"/>
    <w:rsid w:val="00C65C49"/>
    <w:rsid w:val="00C67FBA"/>
    <w:rsid w:val="00C7085D"/>
    <w:rsid w:val="00C73542"/>
    <w:rsid w:val="00C80873"/>
    <w:rsid w:val="00C82508"/>
    <w:rsid w:val="00C82F63"/>
    <w:rsid w:val="00C863E2"/>
    <w:rsid w:val="00C90159"/>
    <w:rsid w:val="00CA3854"/>
    <w:rsid w:val="00CA77A1"/>
    <w:rsid w:val="00CB0BD7"/>
    <w:rsid w:val="00CB1ED4"/>
    <w:rsid w:val="00CB3908"/>
    <w:rsid w:val="00CB4C0B"/>
    <w:rsid w:val="00CC147E"/>
    <w:rsid w:val="00CC1786"/>
    <w:rsid w:val="00CC5B2A"/>
    <w:rsid w:val="00CC6475"/>
    <w:rsid w:val="00CD06BB"/>
    <w:rsid w:val="00CD2AB3"/>
    <w:rsid w:val="00CD2D7F"/>
    <w:rsid w:val="00CD4334"/>
    <w:rsid w:val="00CD7C43"/>
    <w:rsid w:val="00CE1469"/>
    <w:rsid w:val="00CE2487"/>
    <w:rsid w:val="00CE3F48"/>
    <w:rsid w:val="00CE6FB4"/>
    <w:rsid w:val="00CF146A"/>
    <w:rsid w:val="00CF2EBF"/>
    <w:rsid w:val="00CF3015"/>
    <w:rsid w:val="00CF5CF4"/>
    <w:rsid w:val="00CF7E1F"/>
    <w:rsid w:val="00D03468"/>
    <w:rsid w:val="00D03703"/>
    <w:rsid w:val="00D04CAD"/>
    <w:rsid w:val="00D13F1B"/>
    <w:rsid w:val="00D22054"/>
    <w:rsid w:val="00D23654"/>
    <w:rsid w:val="00D2438B"/>
    <w:rsid w:val="00D264C9"/>
    <w:rsid w:val="00D30BB9"/>
    <w:rsid w:val="00D31285"/>
    <w:rsid w:val="00D32E23"/>
    <w:rsid w:val="00D35E3B"/>
    <w:rsid w:val="00D37907"/>
    <w:rsid w:val="00D448EB"/>
    <w:rsid w:val="00D50534"/>
    <w:rsid w:val="00D50F56"/>
    <w:rsid w:val="00D5226F"/>
    <w:rsid w:val="00D5532C"/>
    <w:rsid w:val="00D56ABA"/>
    <w:rsid w:val="00D56D58"/>
    <w:rsid w:val="00D579B5"/>
    <w:rsid w:val="00D61E20"/>
    <w:rsid w:val="00D62935"/>
    <w:rsid w:val="00D71CCC"/>
    <w:rsid w:val="00D71F89"/>
    <w:rsid w:val="00D72C28"/>
    <w:rsid w:val="00D73AA3"/>
    <w:rsid w:val="00D74DC9"/>
    <w:rsid w:val="00D76B47"/>
    <w:rsid w:val="00D779CB"/>
    <w:rsid w:val="00D8198F"/>
    <w:rsid w:val="00D81E3A"/>
    <w:rsid w:val="00D862CE"/>
    <w:rsid w:val="00D86726"/>
    <w:rsid w:val="00DA0177"/>
    <w:rsid w:val="00DA02C0"/>
    <w:rsid w:val="00DB0087"/>
    <w:rsid w:val="00DB0397"/>
    <w:rsid w:val="00DB39FE"/>
    <w:rsid w:val="00DC2482"/>
    <w:rsid w:val="00DC5BDF"/>
    <w:rsid w:val="00DC723A"/>
    <w:rsid w:val="00DD146E"/>
    <w:rsid w:val="00DD1B74"/>
    <w:rsid w:val="00DD1C68"/>
    <w:rsid w:val="00DD2410"/>
    <w:rsid w:val="00DD3229"/>
    <w:rsid w:val="00DD5B6B"/>
    <w:rsid w:val="00DE42FB"/>
    <w:rsid w:val="00DE5895"/>
    <w:rsid w:val="00DE6934"/>
    <w:rsid w:val="00DF01B2"/>
    <w:rsid w:val="00DF0285"/>
    <w:rsid w:val="00DF130F"/>
    <w:rsid w:val="00DF4456"/>
    <w:rsid w:val="00E0185E"/>
    <w:rsid w:val="00E0252E"/>
    <w:rsid w:val="00E0745A"/>
    <w:rsid w:val="00E10AEF"/>
    <w:rsid w:val="00E10E03"/>
    <w:rsid w:val="00E12D07"/>
    <w:rsid w:val="00E141EC"/>
    <w:rsid w:val="00E14F20"/>
    <w:rsid w:val="00E214DE"/>
    <w:rsid w:val="00E2164B"/>
    <w:rsid w:val="00E21F47"/>
    <w:rsid w:val="00E257D2"/>
    <w:rsid w:val="00E26567"/>
    <w:rsid w:val="00E27507"/>
    <w:rsid w:val="00E306AD"/>
    <w:rsid w:val="00E31D0E"/>
    <w:rsid w:val="00E32368"/>
    <w:rsid w:val="00E36FCE"/>
    <w:rsid w:val="00E37463"/>
    <w:rsid w:val="00E538F1"/>
    <w:rsid w:val="00E55E87"/>
    <w:rsid w:val="00E56320"/>
    <w:rsid w:val="00E57036"/>
    <w:rsid w:val="00E63F56"/>
    <w:rsid w:val="00E67657"/>
    <w:rsid w:val="00E7101D"/>
    <w:rsid w:val="00E71E6F"/>
    <w:rsid w:val="00E75A88"/>
    <w:rsid w:val="00E7703C"/>
    <w:rsid w:val="00E805E8"/>
    <w:rsid w:val="00E80666"/>
    <w:rsid w:val="00E8159E"/>
    <w:rsid w:val="00E91344"/>
    <w:rsid w:val="00E9380E"/>
    <w:rsid w:val="00EA0470"/>
    <w:rsid w:val="00EA34E5"/>
    <w:rsid w:val="00EA5770"/>
    <w:rsid w:val="00EA6377"/>
    <w:rsid w:val="00EB195F"/>
    <w:rsid w:val="00EB2368"/>
    <w:rsid w:val="00EB542F"/>
    <w:rsid w:val="00EC0AA6"/>
    <w:rsid w:val="00EC122F"/>
    <w:rsid w:val="00EC193C"/>
    <w:rsid w:val="00EC24AE"/>
    <w:rsid w:val="00ED0977"/>
    <w:rsid w:val="00ED16C6"/>
    <w:rsid w:val="00ED4907"/>
    <w:rsid w:val="00EE03AE"/>
    <w:rsid w:val="00EE06EC"/>
    <w:rsid w:val="00EE3D1A"/>
    <w:rsid w:val="00EF1343"/>
    <w:rsid w:val="00EF4439"/>
    <w:rsid w:val="00EF7F93"/>
    <w:rsid w:val="00F008EF"/>
    <w:rsid w:val="00F02DC4"/>
    <w:rsid w:val="00F048FF"/>
    <w:rsid w:val="00F05705"/>
    <w:rsid w:val="00F14735"/>
    <w:rsid w:val="00F15731"/>
    <w:rsid w:val="00F20091"/>
    <w:rsid w:val="00F261B1"/>
    <w:rsid w:val="00F26C2D"/>
    <w:rsid w:val="00F27A1F"/>
    <w:rsid w:val="00F311CC"/>
    <w:rsid w:val="00F32055"/>
    <w:rsid w:val="00F33EAC"/>
    <w:rsid w:val="00F374FD"/>
    <w:rsid w:val="00F435E2"/>
    <w:rsid w:val="00F44A88"/>
    <w:rsid w:val="00F52891"/>
    <w:rsid w:val="00F52F3B"/>
    <w:rsid w:val="00F54D03"/>
    <w:rsid w:val="00F55C7F"/>
    <w:rsid w:val="00F56353"/>
    <w:rsid w:val="00F5668F"/>
    <w:rsid w:val="00F625E2"/>
    <w:rsid w:val="00F62AEC"/>
    <w:rsid w:val="00F64028"/>
    <w:rsid w:val="00F64543"/>
    <w:rsid w:val="00F65229"/>
    <w:rsid w:val="00F66A7F"/>
    <w:rsid w:val="00F66B70"/>
    <w:rsid w:val="00F67B14"/>
    <w:rsid w:val="00F74756"/>
    <w:rsid w:val="00F7485F"/>
    <w:rsid w:val="00F761D2"/>
    <w:rsid w:val="00F7681A"/>
    <w:rsid w:val="00F82735"/>
    <w:rsid w:val="00F8624F"/>
    <w:rsid w:val="00F94980"/>
    <w:rsid w:val="00F953F2"/>
    <w:rsid w:val="00F969A3"/>
    <w:rsid w:val="00F97CAD"/>
    <w:rsid w:val="00F97D27"/>
    <w:rsid w:val="00FA098F"/>
    <w:rsid w:val="00FA2623"/>
    <w:rsid w:val="00FA320A"/>
    <w:rsid w:val="00FA6681"/>
    <w:rsid w:val="00FA790B"/>
    <w:rsid w:val="00FB05F7"/>
    <w:rsid w:val="00FB06CE"/>
    <w:rsid w:val="00FB1755"/>
    <w:rsid w:val="00FB1F84"/>
    <w:rsid w:val="00FB2B6A"/>
    <w:rsid w:val="00FB2E42"/>
    <w:rsid w:val="00FB306B"/>
    <w:rsid w:val="00FB3651"/>
    <w:rsid w:val="00FB3C20"/>
    <w:rsid w:val="00FC5C68"/>
    <w:rsid w:val="00FC7C34"/>
    <w:rsid w:val="00FD0D77"/>
    <w:rsid w:val="00FD172C"/>
    <w:rsid w:val="00FD3A8E"/>
    <w:rsid w:val="00FD5645"/>
    <w:rsid w:val="00FE2BD0"/>
    <w:rsid w:val="00FE5344"/>
    <w:rsid w:val="00FF10E5"/>
    <w:rsid w:val="00FF12BE"/>
    <w:rsid w:val="00FF5D13"/>
    <w:rsid w:val="00FF67BC"/>
    <w:rsid w:val="00FF6B9E"/>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paragraph" w:customStyle="1" w:styleId="B2">
    <w:name w:val="B2"/>
    <w:basedOn w:val="Normal"/>
    <w:link w:val="B2Char"/>
    <w:rsid w:val="00125BD0"/>
    <w:pPr>
      <w:widowControl/>
      <w:spacing w:after="180"/>
      <w:ind w:left="851" w:hanging="284"/>
      <w:jc w:val="left"/>
    </w:pPr>
    <w:rPr>
      <w:rFonts w:ascii="Times New Roman" w:eastAsia="宋体" w:hAnsi="Times New Roman" w:cs="Times New Roman"/>
      <w:kern w:val="0"/>
      <w:sz w:val="20"/>
      <w:szCs w:val="20"/>
      <w:lang w:val="en-GB" w:eastAsia="x-none"/>
    </w:rPr>
  </w:style>
  <w:style w:type="character" w:customStyle="1" w:styleId="B2Char">
    <w:name w:val="B2 Char"/>
    <w:link w:val="B2"/>
    <w:rsid w:val="00125BD0"/>
    <w:rPr>
      <w:rFonts w:ascii="Times New Roman" w:eastAsia="宋体" w:hAnsi="Times New Roman" w:cs="Times New Roman"/>
      <w:kern w:val="0"/>
      <w:sz w:val="20"/>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paragraph" w:customStyle="1" w:styleId="B2">
    <w:name w:val="B2"/>
    <w:basedOn w:val="Normal"/>
    <w:link w:val="B2Char"/>
    <w:rsid w:val="00125BD0"/>
    <w:pPr>
      <w:widowControl/>
      <w:spacing w:after="180"/>
      <w:ind w:left="851" w:hanging="284"/>
      <w:jc w:val="left"/>
    </w:pPr>
    <w:rPr>
      <w:rFonts w:ascii="Times New Roman" w:eastAsia="宋体" w:hAnsi="Times New Roman" w:cs="Times New Roman"/>
      <w:kern w:val="0"/>
      <w:sz w:val="20"/>
      <w:szCs w:val="20"/>
      <w:lang w:val="en-GB" w:eastAsia="x-none"/>
    </w:rPr>
  </w:style>
  <w:style w:type="character" w:customStyle="1" w:styleId="B2Char">
    <w:name w:val="B2 Char"/>
    <w:link w:val="B2"/>
    <w:rsid w:val="00125BD0"/>
    <w:rPr>
      <w:rFonts w:ascii="Times New Roman" w:eastAsia="宋体" w:hAnsi="Times New Roman" w:cs="Times New Roman"/>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5461848">
      <w:bodyDiv w:val="1"/>
      <w:marLeft w:val="0"/>
      <w:marRight w:val="0"/>
      <w:marTop w:val="0"/>
      <w:marBottom w:val="0"/>
      <w:divBdr>
        <w:top w:val="none" w:sz="0" w:space="0" w:color="auto"/>
        <w:left w:val="none" w:sz="0" w:space="0" w:color="auto"/>
        <w:bottom w:val="none" w:sz="0" w:space="0" w:color="auto"/>
        <w:right w:val="none" w:sz="0" w:space="0" w:color="auto"/>
      </w:divBdr>
      <w:divsChild>
        <w:div w:id="1595825689">
          <w:marLeft w:val="547"/>
          <w:marRight w:val="0"/>
          <w:marTop w:val="115"/>
          <w:marBottom w:val="0"/>
          <w:divBdr>
            <w:top w:val="none" w:sz="0" w:space="0" w:color="auto"/>
            <w:left w:val="none" w:sz="0" w:space="0" w:color="auto"/>
            <w:bottom w:val="none" w:sz="0" w:space="0" w:color="auto"/>
            <w:right w:val="none" w:sz="0" w:space="0" w:color="auto"/>
          </w:divBdr>
        </w:div>
        <w:div w:id="544219625">
          <w:marLeft w:val="1166"/>
          <w:marRight w:val="0"/>
          <w:marTop w:val="96"/>
          <w:marBottom w:val="0"/>
          <w:divBdr>
            <w:top w:val="none" w:sz="0" w:space="0" w:color="auto"/>
            <w:left w:val="none" w:sz="0" w:space="0" w:color="auto"/>
            <w:bottom w:val="none" w:sz="0" w:space="0" w:color="auto"/>
            <w:right w:val="none" w:sz="0" w:space="0" w:color="auto"/>
          </w:divBdr>
        </w:div>
        <w:div w:id="2077900036">
          <w:marLeft w:val="1800"/>
          <w:marRight w:val="0"/>
          <w:marTop w:val="86"/>
          <w:marBottom w:val="0"/>
          <w:divBdr>
            <w:top w:val="none" w:sz="0" w:space="0" w:color="auto"/>
            <w:left w:val="none" w:sz="0" w:space="0" w:color="auto"/>
            <w:bottom w:val="none" w:sz="0" w:space="0" w:color="auto"/>
            <w:right w:val="none" w:sz="0" w:space="0" w:color="auto"/>
          </w:divBdr>
        </w:div>
        <w:div w:id="664479987">
          <w:marLeft w:val="1800"/>
          <w:marRight w:val="0"/>
          <w:marTop w:val="86"/>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684795311">
          <w:marLeft w:val="547"/>
          <w:marRight w:val="0"/>
          <w:marTop w:val="77"/>
          <w:marBottom w:val="0"/>
          <w:divBdr>
            <w:top w:val="none" w:sz="0" w:space="0" w:color="auto"/>
            <w:left w:val="none" w:sz="0" w:space="0" w:color="auto"/>
            <w:bottom w:val="none" w:sz="0" w:space="0" w:color="auto"/>
            <w:right w:val="none" w:sz="0" w:space="0" w:color="auto"/>
          </w:divBdr>
        </w:div>
        <w:div w:id="546338178">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RAN4\TSGRAN4_91\Docs\R4-1907825.zi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1F431-1D74-4ABB-86D2-3BE7E4D95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1106</Words>
  <Characters>6308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201910814</cp:lastModifiedBy>
  <cp:revision>6</cp:revision>
  <cp:lastPrinted>2019-03-25T03:05:00Z</cp:lastPrinted>
  <dcterms:created xsi:type="dcterms:W3CDTF">2019-08-16T03:39:00Z</dcterms:created>
  <dcterms:modified xsi:type="dcterms:W3CDTF">2019-08-16T09:58:00Z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